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AE316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附件3</w:t>
      </w:r>
      <w:r>
        <w:rPr>
          <w:rFonts w:hint="eastAsia" w:ascii="Times New Roman" w:hAnsi="Times New Roman" w:eastAsia="仿宋_GB2312" w:cs="Times New Roman"/>
          <w:sz w:val="32"/>
          <w:szCs w:val="32"/>
          <w:lang w:val="en-US" w:eastAsia="zh-CN"/>
        </w:rPr>
        <w:t xml:space="preserve"> </w:t>
      </w:r>
    </w:p>
    <w:p w14:paraId="1BEF415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注释稿</w:t>
      </w:r>
      <w:bookmarkStart w:id="0" w:name="_GoBack"/>
      <w:bookmarkEnd w:id="0"/>
    </w:p>
    <w:p w14:paraId="01212D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p>
    <w:tbl>
      <w:tblPr>
        <w:tblStyle w:val="6"/>
        <w:tblW w:w="134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152"/>
        <w:gridCol w:w="4114"/>
        <w:gridCol w:w="5"/>
        <w:gridCol w:w="2"/>
        <w:gridCol w:w="1151"/>
        <w:gridCol w:w="3490"/>
        <w:gridCol w:w="3490"/>
        <w:tblGridChange w:id="0">
          <w:tblGrid>
            <w:gridCol w:w="1152"/>
            <w:gridCol w:w="4114"/>
            <w:gridCol w:w="5"/>
            <w:gridCol w:w="2"/>
            <w:gridCol w:w="1151"/>
            <w:gridCol w:w="3490"/>
            <w:gridCol w:w="3490"/>
          </w:tblGrid>
        </w:tblGridChange>
      </w:tblGrid>
      <w:tr w14:paraId="31CAF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6" w:hRule="atLeast"/>
          <w:tblHeader/>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7DABB546">
            <w:pPr>
              <w:widowControl/>
              <w:jc w:val="center"/>
              <w:textAlignment w:val="center"/>
              <w:rPr>
                <w:rFonts w:hint="default" w:ascii="Times New Roman" w:hAnsi="Times New Roman" w:eastAsia="黑体" w:cs="Times New Roman"/>
                <w:i w:val="0"/>
                <w:color w:val="000000"/>
                <w:sz w:val="24"/>
                <w:szCs w:val="24"/>
                <w:highlight w:val="none"/>
                <w:u w:val="none"/>
                <w:lang w:val="en-US" w:eastAsia="zh-CN"/>
              </w:rPr>
            </w:pPr>
            <w:r>
              <w:rPr>
                <w:rFonts w:hint="eastAsia" w:ascii="Times New Roman" w:hAnsi="Times New Roman" w:eastAsia="黑体" w:cs="Times New Roman"/>
                <w:i w:val="0"/>
                <w:color w:val="000000"/>
                <w:sz w:val="24"/>
                <w:szCs w:val="24"/>
                <w:highlight w:val="none"/>
                <w:u w:val="none"/>
                <w:lang w:val="en-US" w:eastAsia="zh-CN"/>
              </w:rPr>
              <w:t>修订前</w:t>
            </w:r>
          </w:p>
          <w:p w14:paraId="0ACED754">
            <w:pPr>
              <w:widowControl/>
              <w:jc w:val="center"/>
              <w:textAlignment w:val="center"/>
              <w:rPr>
                <w:rFonts w:hint="default" w:ascii="Times New Roman" w:hAnsi="Times New Roman" w:eastAsia="黑体" w:cs="Times New Roman"/>
                <w:i w:val="0"/>
                <w:color w:val="000000"/>
                <w:sz w:val="24"/>
                <w:szCs w:val="24"/>
                <w:highlight w:val="none"/>
                <w:u w:val="none"/>
                <w:lang w:val="en-US" w:eastAsia="zh-CN"/>
              </w:rPr>
            </w:pPr>
            <w:r>
              <w:rPr>
                <w:rFonts w:hint="eastAsia" w:ascii="Times New Roman" w:hAnsi="Times New Roman" w:eastAsia="黑体" w:cs="Times New Roman"/>
                <w:i w:val="0"/>
                <w:color w:val="000000"/>
                <w:sz w:val="24"/>
                <w:szCs w:val="24"/>
                <w:highlight w:val="none"/>
                <w:u w:val="none"/>
                <w:lang w:val="en-US" w:eastAsia="zh-CN"/>
              </w:rPr>
              <w:t>条款</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56064B20">
            <w:pPr>
              <w:widowControl/>
              <w:jc w:val="center"/>
              <w:textAlignment w:val="center"/>
              <w:rPr>
                <w:rFonts w:hint="default" w:ascii="Times New Roman" w:hAnsi="Times New Roman" w:eastAsia="黑体" w:cs="Times New Roman"/>
                <w:i w:val="0"/>
                <w:color w:val="000000"/>
                <w:sz w:val="24"/>
                <w:szCs w:val="24"/>
                <w:highlight w:val="none"/>
                <w:u w:val="none"/>
                <w:lang w:val="en-US"/>
              </w:rPr>
            </w:pPr>
            <w:r>
              <w:rPr>
                <w:rFonts w:hint="default" w:ascii="Times New Roman" w:hAnsi="Times New Roman" w:eastAsia="黑体" w:cs="Times New Roman"/>
                <w:i w:val="0"/>
                <w:color w:val="000000"/>
                <w:kern w:val="0"/>
                <w:sz w:val="24"/>
                <w:szCs w:val="24"/>
                <w:highlight w:val="none"/>
                <w:u w:val="none"/>
                <w:lang w:val="en-US" w:eastAsia="zh-CN" w:bidi="ar-SA"/>
              </w:rPr>
              <w:t>修订</w:t>
            </w:r>
            <w:r>
              <w:rPr>
                <w:rFonts w:hint="eastAsia" w:ascii="Times New Roman" w:hAnsi="Times New Roman" w:eastAsia="黑体" w:cs="Times New Roman"/>
                <w:i w:val="0"/>
                <w:color w:val="000000"/>
                <w:kern w:val="0"/>
                <w:sz w:val="24"/>
                <w:szCs w:val="24"/>
                <w:highlight w:val="none"/>
                <w:u w:val="none"/>
                <w:lang w:val="en-US" w:eastAsia="zh-CN" w:bidi="ar-SA"/>
              </w:rPr>
              <w:t>前</w:t>
            </w:r>
            <w:r>
              <w:rPr>
                <w:rFonts w:hint="default" w:ascii="Times New Roman" w:hAnsi="Times New Roman" w:eastAsia="黑体" w:cs="Times New Roman"/>
                <w:i w:val="0"/>
                <w:color w:val="000000"/>
                <w:kern w:val="0"/>
                <w:sz w:val="24"/>
                <w:szCs w:val="24"/>
                <w:highlight w:val="none"/>
                <w:u w:val="none"/>
                <w:lang w:val="en-US" w:eastAsia="zh-CN" w:bidi="ar-SA"/>
              </w:rPr>
              <w:t>条文</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01BF5E78">
            <w:pPr>
              <w:widowControl/>
              <w:jc w:val="center"/>
              <w:textAlignment w:val="center"/>
              <w:rPr>
                <w:rFonts w:hint="default" w:ascii="Times New Roman" w:hAnsi="Times New Roman" w:eastAsia="黑体" w:cs="Times New Roman"/>
                <w:i w:val="0"/>
                <w:color w:val="000000"/>
                <w:sz w:val="24"/>
                <w:szCs w:val="24"/>
                <w:highlight w:val="none"/>
                <w:u w:val="none"/>
                <w:lang w:val="en-US" w:eastAsia="zh-CN"/>
              </w:rPr>
            </w:pPr>
            <w:r>
              <w:rPr>
                <w:rFonts w:hint="eastAsia" w:ascii="Times New Roman" w:hAnsi="Times New Roman" w:eastAsia="黑体" w:cs="Times New Roman"/>
                <w:i w:val="0"/>
                <w:color w:val="000000"/>
                <w:sz w:val="24"/>
                <w:szCs w:val="24"/>
                <w:highlight w:val="none"/>
                <w:u w:val="none"/>
                <w:lang w:val="en-US" w:eastAsia="zh-CN"/>
              </w:rPr>
              <w:t>修订后</w:t>
            </w:r>
          </w:p>
          <w:p w14:paraId="37CF3E92">
            <w:pPr>
              <w:widowControl/>
              <w:jc w:val="center"/>
              <w:textAlignment w:val="center"/>
              <w:rPr>
                <w:rFonts w:hint="default" w:ascii="Times New Roman" w:hAnsi="Times New Roman" w:eastAsia="黑体" w:cs="Times New Roman"/>
                <w:i w:val="0"/>
                <w:color w:val="000000"/>
                <w:kern w:val="0"/>
                <w:sz w:val="24"/>
                <w:szCs w:val="24"/>
                <w:highlight w:val="none"/>
                <w:u w:val="none"/>
                <w:lang w:val="en-US" w:eastAsia="zh-CN" w:bidi="ar-SA"/>
              </w:rPr>
            </w:pPr>
            <w:r>
              <w:rPr>
                <w:rFonts w:hint="eastAsia" w:ascii="Times New Roman" w:hAnsi="Times New Roman" w:eastAsia="黑体" w:cs="Times New Roman"/>
                <w:i w:val="0"/>
                <w:color w:val="000000"/>
                <w:sz w:val="24"/>
                <w:szCs w:val="24"/>
                <w:highlight w:val="none"/>
                <w:u w:val="none"/>
                <w:lang w:val="en-US" w:eastAsia="zh-CN"/>
              </w:rPr>
              <w:t>条款</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1C3A7614">
            <w:pPr>
              <w:widowControl/>
              <w:jc w:val="center"/>
              <w:textAlignment w:val="center"/>
              <w:rPr>
                <w:rFonts w:hint="default" w:ascii="Times New Roman" w:hAnsi="Times New Roman" w:eastAsia="黑体" w:cs="Times New Roman"/>
                <w:i w:val="0"/>
                <w:color w:val="000000"/>
                <w:kern w:val="0"/>
                <w:sz w:val="24"/>
                <w:szCs w:val="24"/>
                <w:highlight w:val="none"/>
                <w:u w:val="none"/>
                <w:lang w:val="en-US" w:eastAsia="zh-CN" w:bidi="ar-SA"/>
              </w:rPr>
            </w:pPr>
            <w:r>
              <w:rPr>
                <w:rFonts w:hint="default" w:ascii="Times New Roman" w:hAnsi="Times New Roman" w:eastAsia="黑体" w:cs="Times New Roman"/>
                <w:i w:val="0"/>
                <w:color w:val="000000"/>
                <w:kern w:val="0"/>
                <w:sz w:val="24"/>
                <w:szCs w:val="24"/>
                <w:highlight w:val="none"/>
                <w:u w:val="none"/>
                <w:lang w:val="en-US" w:eastAsia="zh-CN" w:bidi="ar-SA"/>
              </w:rPr>
              <w:t>修订</w:t>
            </w:r>
            <w:r>
              <w:rPr>
                <w:rFonts w:hint="eastAsia" w:ascii="Times New Roman" w:hAnsi="Times New Roman" w:eastAsia="黑体" w:cs="Times New Roman"/>
                <w:i w:val="0"/>
                <w:color w:val="000000"/>
                <w:kern w:val="0"/>
                <w:sz w:val="24"/>
                <w:szCs w:val="24"/>
                <w:highlight w:val="none"/>
                <w:u w:val="none"/>
                <w:lang w:val="en-US" w:eastAsia="zh-CN" w:bidi="ar-SA"/>
              </w:rPr>
              <w:t>后</w:t>
            </w:r>
            <w:r>
              <w:rPr>
                <w:rFonts w:hint="default" w:ascii="Times New Roman" w:hAnsi="Times New Roman" w:eastAsia="黑体" w:cs="Times New Roman"/>
                <w:i w:val="0"/>
                <w:color w:val="000000"/>
                <w:kern w:val="0"/>
                <w:sz w:val="24"/>
                <w:szCs w:val="24"/>
                <w:highlight w:val="none"/>
                <w:u w:val="none"/>
                <w:lang w:val="en-US" w:eastAsia="zh-CN" w:bidi="ar-SA"/>
              </w:rPr>
              <w:t>条文</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37309DF0">
            <w:pPr>
              <w:widowControl/>
              <w:jc w:val="center"/>
              <w:textAlignment w:val="center"/>
              <w:rPr>
                <w:rFonts w:hint="default" w:ascii="Times New Roman" w:hAnsi="Times New Roman" w:eastAsia="黑体" w:cs="Times New Roman"/>
                <w:i w:val="0"/>
                <w:color w:val="000000"/>
                <w:sz w:val="24"/>
                <w:szCs w:val="24"/>
                <w:highlight w:val="none"/>
                <w:u w:val="none"/>
              </w:rPr>
            </w:pPr>
            <w:r>
              <w:rPr>
                <w:rFonts w:hint="default" w:ascii="Times New Roman" w:hAnsi="Times New Roman" w:eastAsia="黑体" w:cs="Times New Roman"/>
                <w:i w:val="0"/>
                <w:color w:val="000000"/>
                <w:kern w:val="0"/>
                <w:sz w:val="24"/>
                <w:szCs w:val="24"/>
                <w:highlight w:val="none"/>
                <w:u w:val="none"/>
                <w:lang w:val="en-US" w:eastAsia="zh-CN" w:bidi="ar-SA"/>
              </w:rPr>
              <w:t>修订说明</w:t>
            </w:r>
          </w:p>
        </w:tc>
      </w:tr>
      <w:tr w14:paraId="1ACD2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1E836330">
            <w:pPr>
              <w:keepNext w:val="0"/>
              <w:keepLines w:val="0"/>
              <w:pageBreakBefore w:val="0"/>
              <w:widowControl/>
              <w:kinsoku/>
              <w:wordWrap/>
              <w:overflowPunct/>
              <w:topLinePunct w:val="0"/>
              <w:autoSpaceDE/>
              <w:autoSpaceDN/>
              <w:bidi w:val="0"/>
              <w:adjustRightInd/>
              <w:snapToGrid/>
              <w:jc w:val="center"/>
              <w:textAlignment w:val="center"/>
              <w:rPr>
                <w:rFonts w:hint="eastAsia" w:ascii="仿宋_GB2312" w:hAnsi="仿宋_GB2312" w:eastAsia="仿宋_GB2312" w:cs="仿宋_GB2312"/>
                <w:b w:val="0"/>
                <w:bCs w:val="0"/>
                <w:strike w:val="0"/>
                <w:dstrike w:val="0"/>
                <w:sz w:val="21"/>
                <w:szCs w:val="21"/>
                <w:u w:val="none"/>
                <w:lang w:eastAsia="zh-CN"/>
              </w:rPr>
            </w:pP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7AD48775">
            <w:pPr>
              <w:keepNext w:val="0"/>
              <w:keepLines w:val="0"/>
              <w:pageBreakBefore w:val="0"/>
              <w:widowControl/>
              <w:kinsoku/>
              <w:wordWrap/>
              <w:overflowPunct/>
              <w:topLinePunct w:val="0"/>
              <w:autoSpaceDE/>
              <w:autoSpaceDN/>
              <w:bidi w:val="0"/>
              <w:adjustRightInd/>
              <w:snapToGrid/>
              <w:jc w:val="center"/>
              <w:textAlignment w:val="center"/>
              <w:rPr>
                <w:rFonts w:hint="eastAsia" w:ascii="仿宋_GB2312" w:hAnsi="仿宋_GB2312" w:eastAsia="仿宋_GB2312" w:cs="仿宋_GB2312"/>
                <w:b w:val="0"/>
                <w:bCs w:val="0"/>
                <w:strike w:val="0"/>
                <w:dstrike w:val="0"/>
                <w:sz w:val="21"/>
                <w:szCs w:val="21"/>
                <w:u w:val="none"/>
              </w:rPr>
            </w:pPr>
            <w:r>
              <w:rPr>
                <w:rFonts w:hint="eastAsia" w:ascii="仿宋_GB2312" w:hAnsi="仿宋_GB2312" w:eastAsia="仿宋_GB2312" w:cs="仿宋_GB2312"/>
                <w:b/>
                <w:bCs/>
                <w:strike w:val="0"/>
                <w:dstrike w:val="0"/>
                <w:sz w:val="21"/>
                <w:szCs w:val="21"/>
                <w:u w:val="none"/>
                <w:lang w:eastAsia="zh-CN"/>
              </w:rPr>
              <w:t>第一章</w:t>
            </w:r>
            <w:r>
              <w:rPr>
                <w:rFonts w:hint="eastAsia" w:ascii="仿宋_GB2312" w:hAnsi="仿宋_GB2312" w:eastAsia="仿宋_GB2312" w:cs="仿宋_GB2312"/>
                <w:b/>
                <w:bCs/>
                <w:strike w:val="0"/>
                <w:dstrike w:val="0"/>
                <w:sz w:val="21"/>
                <w:szCs w:val="21"/>
                <w:u w:val="none"/>
                <w:lang w:val="en-US" w:eastAsia="zh-CN"/>
              </w:rPr>
              <w:t xml:space="preserve"> 总则</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60A92A6C">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740CFF5">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bCs/>
                <w:strike w:val="0"/>
                <w:dstrike w:val="0"/>
                <w:sz w:val="21"/>
                <w:szCs w:val="21"/>
                <w:u w:val="none"/>
                <w:lang w:eastAsia="zh-CN"/>
              </w:rPr>
              <w:t>第一章</w:t>
            </w:r>
            <w:r>
              <w:rPr>
                <w:rFonts w:hint="eastAsia" w:ascii="仿宋_GB2312" w:hAnsi="仿宋_GB2312" w:eastAsia="仿宋_GB2312" w:cs="仿宋_GB2312"/>
                <w:b/>
                <w:bCs/>
                <w:strike w:val="0"/>
                <w:dstrike w:val="0"/>
                <w:sz w:val="21"/>
                <w:szCs w:val="21"/>
                <w:u w:val="none"/>
                <w:lang w:val="en-US" w:eastAsia="zh-CN"/>
              </w:rPr>
              <w:t xml:space="preserve"> 总则</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39694C2C">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将原第四、五条修改为现第十二条，纳入第二章，与工信部《办法》一致。</w:t>
            </w:r>
          </w:p>
        </w:tc>
      </w:tr>
      <w:tr w14:paraId="38F19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00A1A2EC">
            <w:pPr>
              <w:widowControl/>
              <w:jc w:val="center"/>
              <w:textAlignment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第一条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066948DC">
            <w:pPr>
              <w:widowControl/>
              <w:jc w:val="both"/>
              <w:textAlignment w:val="center"/>
              <w:rPr>
                <w:rFonts w:hint="eastAsia" w:ascii="仿宋_GB2312" w:hAnsi="仿宋_GB2312" w:eastAsia="仿宋_GB2312" w:cs="仿宋_GB2312"/>
                <w:b w:val="0"/>
                <w:bCs w:val="0"/>
                <w:strike w:val="0"/>
                <w:dstrike w:val="0"/>
                <w:sz w:val="21"/>
                <w:szCs w:val="21"/>
                <w:u w:val="none"/>
              </w:rPr>
            </w:pPr>
            <w:r>
              <w:rPr>
                <w:rFonts w:hint="eastAsia" w:ascii="仿宋_GB2312" w:hAnsi="仿宋_GB2312" w:eastAsia="仿宋_GB2312" w:cs="仿宋_GB2312"/>
                <w:b w:val="0"/>
                <w:bCs w:val="0"/>
                <w:strike w:val="0"/>
                <w:dstrike w:val="0"/>
                <w:sz w:val="21"/>
                <w:szCs w:val="21"/>
                <w:u w:val="none"/>
              </w:rPr>
              <w:t>根据《工业和信息化部关于印发〈优质中小企业梯度培育管理暂行办法〉的通知》（工信部企业〔2022〕63号，以下简称《暂行办法》）要求，为加强我省优质中小企业梯度培育管理，提升中小企业创新能力和专业化水平，促进中小企业高质量发展，助力实现产业基础高级化和产业链现代化，特制定本实施细则。</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48AFB25B">
            <w:pPr>
              <w:widowControl/>
              <w:jc w:val="center"/>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第一条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3A786E13">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根据《工业和信息化部关于印发〈优质中小企业梯度培育管理办法〉的通知》（工信部企业〔2026〕2号，以下简称《办法》）要求，为加强和规范我省优质中小企业梯度培育管理，促进中小企业专精特新发展，支撑推进新型工业化、发展新质生产力、建设现代化产业体系</w:t>
            </w:r>
            <w:r>
              <w:rPr>
                <w:rFonts w:hint="eastAsia" w:ascii="仿宋_GB2312" w:hAnsi="仿宋_GB2312" w:eastAsia="仿宋_GB2312" w:cs="仿宋_GB2312"/>
                <w:b w:val="0"/>
                <w:bCs w:val="0"/>
                <w:strike w:val="0"/>
                <w:dstrike w:val="0"/>
                <w:sz w:val="21"/>
                <w:szCs w:val="21"/>
                <w:u w:val="none"/>
              </w:rPr>
              <w:t>，</w:t>
            </w:r>
            <w:r>
              <w:rPr>
                <w:rFonts w:hint="eastAsia" w:ascii="仿宋_GB2312" w:hAnsi="仿宋_GB2312" w:eastAsia="仿宋_GB2312" w:cs="仿宋_GB2312"/>
                <w:b w:val="0"/>
                <w:bCs w:val="0"/>
                <w:strike w:val="0"/>
                <w:dstrike w:val="0"/>
                <w:sz w:val="21"/>
                <w:szCs w:val="21"/>
                <w:u w:val="none"/>
                <w:lang w:val="en-US" w:eastAsia="zh-CN"/>
              </w:rPr>
              <w:t>特制定本实施细则。</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AB3D5E5">
            <w:pPr>
              <w:widowControl/>
              <w:jc w:val="left"/>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2026年1月4日，工业和信息化部对《优质中小企业梯度培育管理暂行办法》进行了修订，出台了《优质中小企业梯度培育管理办法》，这次修订我省实施细则，主要是因为工信部对《暂行办法》进行了修订，我省实施细则修订的主要依据也是工信部的《办法》。</w:t>
            </w:r>
          </w:p>
        </w:tc>
      </w:tr>
      <w:tr w14:paraId="4D8E5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79AFFEAF">
            <w:pPr>
              <w:widowControl/>
              <w:jc w:val="center"/>
              <w:textAlignment w:val="center"/>
              <w:rPr>
                <w:rFonts w:hint="eastAsia" w:ascii="仿宋_GB2312" w:hAnsi="仿宋_GB2312" w:eastAsia="仿宋_GB2312" w:cs="仿宋_GB2312"/>
                <w:b w:val="0"/>
                <w:bCs w:val="0"/>
                <w:i w:val="0"/>
                <w:strike w:val="0"/>
                <w:dstrike w:val="0"/>
                <w:color w:val="000000"/>
                <w:kern w:val="0"/>
                <w:sz w:val="21"/>
                <w:szCs w:val="21"/>
                <w:highlight w:val="none"/>
                <w:u w:val="none"/>
                <w:lang w:val="en-US" w:eastAsia="zh-CN" w:bidi="ar-SA"/>
              </w:rPr>
            </w:pPr>
            <w:r>
              <w:rPr>
                <w:rFonts w:hint="eastAsia" w:ascii="仿宋_GB2312" w:hAnsi="仿宋_GB2312" w:eastAsia="仿宋_GB2312" w:cs="仿宋_GB2312"/>
                <w:b w:val="0"/>
                <w:bCs w:val="0"/>
                <w:i w:val="0"/>
                <w:strike w:val="0"/>
                <w:dstrike w:val="0"/>
                <w:color w:val="000000"/>
                <w:kern w:val="0"/>
                <w:sz w:val="21"/>
                <w:szCs w:val="21"/>
                <w:highlight w:val="none"/>
                <w:u w:val="none"/>
                <w:lang w:val="en-US" w:eastAsia="zh-CN" w:bidi="ar-SA"/>
              </w:rPr>
              <w:t>条二条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0F16FC5F">
            <w:pPr>
              <w:widowControl/>
              <w:jc w:val="both"/>
              <w:textAlignment w:val="center"/>
              <w:rPr>
                <w:rFonts w:hint="eastAsia" w:ascii="仿宋_GB2312" w:hAnsi="仿宋_GB2312" w:eastAsia="仿宋_GB2312" w:cs="仿宋_GB2312"/>
                <w:b w:val="0"/>
                <w:bCs w:val="0"/>
                <w:i w:val="0"/>
                <w:strike w:val="0"/>
                <w:dstrike w:val="0"/>
                <w:color w:val="000000"/>
                <w:kern w:val="0"/>
                <w:sz w:val="21"/>
                <w:szCs w:val="21"/>
                <w:highlight w:val="none"/>
                <w:u w:val="none"/>
                <w:lang w:val="en-US" w:eastAsia="zh-CN" w:bidi="ar-SA"/>
              </w:rPr>
            </w:pPr>
            <w:r>
              <w:rPr>
                <w:rFonts w:hint="eastAsia" w:ascii="仿宋_GB2312" w:hAnsi="仿宋_GB2312" w:eastAsia="仿宋_GB2312" w:cs="仿宋_GB2312"/>
                <w:b w:val="0"/>
                <w:bCs w:val="0"/>
                <w:i w:val="0"/>
                <w:strike w:val="0"/>
                <w:dstrike w:val="0"/>
                <w:color w:val="000000"/>
                <w:kern w:val="0"/>
                <w:sz w:val="21"/>
                <w:szCs w:val="21"/>
                <w:highlight w:val="none"/>
                <w:u w:val="none"/>
                <w:lang w:val="en-US" w:eastAsia="zh-CN" w:bidi="ar-SA"/>
              </w:rPr>
              <w:t>本细则适用于广东省优质中小企业梯度培育管理，所称优质中小企业由创新型中小企业、专精特新中小企业、专精特新“小巨人”企业三个层次梯度衔接组成。</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4D537DE3">
            <w:pPr>
              <w:widowControl/>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trike w:val="0"/>
                <w:dstrike w:val="0"/>
                <w:sz w:val="21"/>
                <w:szCs w:val="21"/>
                <w:u w:val="none"/>
                <w:lang w:val="en-US" w:eastAsia="zh-CN"/>
              </w:rPr>
              <w:t>第二条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16BA9A1E">
            <w:pPr>
              <w:widowControl/>
              <w:jc w:val="left"/>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trike w:val="0"/>
                <w:dstrike w:val="0"/>
                <w:sz w:val="21"/>
                <w:szCs w:val="21"/>
                <w:u w:val="none"/>
                <w:lang w:val="en-US" w:eastAsia="zh-CN"/>
              </w:rPr>
              <w:t>本细则适用于广东省优质中小企业梯度培育管理，所称优质中小企业由科技和创新型中小企业、专精特新中小企业、专精特新“小巨人”企业三个层次梯度衔接组成。</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C3A45A7">
            <w:pPr>
              <w:widowControl/>
              <w:jc w:val="left"/>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z w:val="21"/>
                <w:szCs w:val="21"/>
                <w:lang w:val="en-US" w:eastAsia="zh-CN"/>
              </w:rPr>
              <w:t>与工信部《办法》对优质中小企业梯队的定义保持一致</w:t>
            </w:r>
            <w:r>
              <w:rPr>
                <w:rFonts w:hint="eastAsia" w:ascii="仿宋_GB2312" w:hAnsi="仿宋_GB2312" w:eastAsia="仿宋_GB2312" w:cs="仿宋_GB2312"/>
                <w:b w:val="0"/>
                <w:bCs w:val="0"/>
                <w:strike w:val="0"/>
                <w:dstrike w:val="0"/>
                <w:sz w:val="21"/>
                <w:szCs w:val="21"/>
                <w:u w:val="none"/>
                <w:lang w:val="en-US" w:eastAsia="zh-CN"/>
              </w:rPr>
              <w:t>。</w:t>
            </w:r>
          </w:p>
        </w:tc>
      </w:tr>
      <w:tr w14:paraId="7DA6C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1048901E">
            <w:pPr>
              <w:spacing w:line="240" w:lineRule="auto"/>
              <w:jc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第三条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4C1D6993">
            <w:pPr>
              <w:widowControl/>
              <w:jc w:val="both"/>
              <w:textAlignment w:val="center"/>
              <w:rPr>
                <w:rFonts w:hint="eastAsia" w:ascii="仿宋_GB2312" w:hAnsi="仿宋_GB2312" w:eastAsia="仿宋_GB2312" w:cs="仿宋_GB2312"/>
                <w:b w:val="0"/>
                <w:bCs w:val="0"/>
                <w:strike w:val="0"/>
                <w:dstrike w:val="0"/>
                <w:sz w:val="21"/>
                <w:szCs w:val="21"/>
                <w:u w:val="none"/>
              </w:rPr>
            </w:pPr>
            <w:r>
              <w:rPr>
                <w:rFonts w:hint="eastAsia" w:ascii="仿宋_GB2312" w:hAnsi="仿宋_GB2312" w:eastAsia="仿宋_GB2312" w:cs="仿宋_GB2312"/>
                <w:b w:val="0"/>
                <w:bCs w:val="0"/>
                <w:strike w:val="0"/>
                <w:dstrike w:val="0"/>
                <w:sz w:val="21"/>
                <w:szCs w:val="21"/>
                <w:u w:val="none"/>
              </w:rPr>
              <w:t>省工业和信息化厅负责广东省优质中小企业梯度培育管理工作的统筹协调、服务指导和监督检查，负责创新型中小企业抽查、专精特新中小企业认定、专精特新“小巨人”企业推荐等工作。</w:t>
            </w:r>
          </w:p>
          <w:p w14:paraId="0D9E5C87">
            <w:pPr>
              <w:widowControl/>
              <w:jc w:val="both"/>
              <w:textAlignment w:val="center"/>
              <w:rPr>
                <w:rFonts w:hint="eastAsia" w:ascii="仿宋_GB2312" w:hAnsi="仿宋_GB2312" w:eastAsia="仿宋_GB2312" w:cs="仿宋_GB2312"/>
                <w:b w:val="0"/>
                <w:bCs w:val="0"/>
                <w:strike w:val="0"/>
                <w:dstrike w:val="0"/>
                <w:sz w:val="21"/>
                <w:szCs w:val="21"/>
                <w:u w:val="none"/>
              </w:rPr>
            </w:pPr>
            <w:r>
              <w:rPr>
                <w:rFonts w:hint="eastAsia" w:ascii="仿宋_GB2312" w:hAnsi="仿宋_GB2312" w:eastAsia="仿宋_GB2312" w:cs="仿宋_GB2312"/>
                <w:b w:val="0"/>
                <w:bCs w:val="0"/>
                <w:strike w:val="0"/>
                <w:dstrike w:val="0"/>
                <w:sz w:val="21"/>
                <w:szCs w:val="21"/>
                <w:u w:val="none"/>
              </w:rPr>
              <w:t>深圳市中小企业主管部门根据《暂行办法》有关要求自行组织深圳市优质中小企业梯度培育管理工作，公告的创新型中小企业、认定的专精特新中小企业，以及经工业和信息化部认定的国家专精特新“小巨人”企业，属于广东省优质中小企业组成部分，有关情况按要求向省工业和信息化厅报备。</w:t>
            </w:r>
          </w:p>
          <w:p w14:paraId="314F54D1">
            <w:pPr>
              <w:widowControl/>
              <w:jc w:val="both"/>
              <w:textAlignment w:val="center"/>
              <w:rPr>
                <w:rFonts w:hint="eastAsia" w:ascii="仿宋_GB2312" w:hAnsi="仿宋_GB2312" w:eastAsia="仿宋_GB2312" w:cs="仿宋_GB2312"/>
                <w:b w:val="0"/>
                <w:bCs w:val="0"/>
                <w:strike w:val="0"/>
                <w:dstrike w:val="0"/>
                <w:sz w:val="21"/>
                <w:szCs w:val="21"/>
                <w:u w:val="none"/>
              </w:rPr>
            </w:pPr>
            <w:r>
              <w:rPr>
                <w:rFonts w:hint="eastAsia" w:ascii="仿宋_GB2312" w:hAnsi="仿宋_GB2312" w:eastAsia="仿宋_GB2312" w:cs="仿宋_GB2312"/>
                <w:b w:val="0"/>
                <w:bCs w:val="0"/>
                <w:strike w:val="0"/>
                <w:dstrike w:val="0"/>
                <w:sz w:val="21"/>
                <w:szCs w:val="21"/>
                <w:u w:val="none"/>
              </w:rPr>
              <w:t>其他地级以上市中小企业主管部门负责组织本行政区域内创新型中小企业评价，专精特新中小企业和专精特新“小巨人”企业的审核推荐，以及优质中小企业培育服务等具体实施工作。</w:t>
            </w:r>
          </w:p>
          <w:p w14:paraId="2D3DABB0">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rPr>
              <w:t>创新型中小企业、专精特新中小企业和专精特新“小巨人”企业到期复核，按照本细则评价、认定和推荐执行。</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3BFB5497">
            <w:pPr>
              <w:widowControl/>
              <w:jc w:val="center"/>
              <w:textAlignment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val="en-US" w:eastAsia="zh-CN"/>
              </w:rPr>
              <w:t>第三条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74226116">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省工业和信息化厅负责广东省优质中小企业梯度培育管理工作的统筹协调、服务指导和监督检查，负责专精特新中小企业的抽查和认定、专精特新“小巨人”企业的公示和推荐等工作。</w:t>
            </w:r>
          </w:p>
          <w:p w14:paraId="667509AE">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深圳市中小企业主管部门根据《办法》有关要求自行组织深圳市优质中小企业梯度培育管理工作，认定的专精特新中小企业，以及经工业和信息化部认定的国家专精特新“小巨人”企业，属于广东省优质中小企业组成部分，有关情况按要求向省工业和信息化厅报备。</w:t>
            </w:r>
          </w:p>
          <w:p w14:paraId="3FDFE5D8">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其他地级以上市中小企业主管部门负责组织本行政区域内专精特新中小企业和专精特新“小巨人”企业的审核推荐，以及优质中小企业培育服务等具体实施工作。</w:t>
            </w:r>
          </w:p>
          <w:p w14:paraId="12EA0E33">
            <w:pPr>
              <w:widowControl/>
              <w:jc w:val="left"/>
              <w:textAlignment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val="en-US" w:eastAsia="zh-CN"/>
              </w:rPr>
              <w:t>其他机构未经授权不得开展与科技和创新型中小企业、专精特新中小企业、专精特新“小巨人”企业有关的认定、授牌等活动。</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7A78E05D">
            <w:pPr>
              <w:widowControl/>
              <w:jc w:val="both"/>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明确了省厅、深圳市和其他地市在专精特新中小企业和专精特新“小巨人”企业培育管理的职责和权限，</w:t>
            </w:r>
            <w:r>
              <w:rPr>
                <w:rFonts w:hint="eastAsia" w:ascii="仿宋_GB2312" w:hAnsi="仿宋_GB2312" w:eastAsia="仿宋_GB2312" w:cs="仿宋_GB2312"/>
                <w:b w:val="0"/>
                <w:bCs w:val="0"/>
                <w:strike w:val="0"/>
                <w:dstrike w:val="0"/>
                <w:sz w:val="21"/>
                <w:szCs w:val="21"/>
                <w:u w:val="none"/>
                <w:lang w:eastAsia="zh-CN"/>
              </w:rPr>
              <w:t>省厅负责</w:t>
            </w:r>
            <w:r>
              <w:rPr>
                <w:rFonts w:hint="eastAsia" w:ascii="仿宋_GB2312" w:hAnsi="仿宋_GB2312" w:eastAsia="仿宋_GB2312" w:cs="仿宋_GB2312"/>
                <w:b w:val="0"/>
                <w:bCs w:val="0"/>
                <w:strike w:val="0"/>
                <w:dstrike w:val="0"/>
                <w:sz w:val="21"/>
                <w:szCs w:val="21"/>
                <w:u w:val="none"/>
              </w:rPr>
              <w:t>梯度培育工作</w:t>
            </w:r>
            <w:r>
              <w:rPr>
                <w:rFonts w:hint="eastAsia" w:ascii="仿宋_GB2312" w:hAnsi="仿宋_GB2312" w:eastAsia="仿宋_GB2312" w:cs="仿宋_GB2312"/>
                <w:b w:val="0"/>
                <w:bCs w:val="0"/>
                <w:strike w:val="0"/>
                <w:dstrike w:val="0"/>
                <w:sz w:val="21"/>
                <w:szCs w:val="21"/>
                <w:u w:val="none"/>
                <w:lang w:eastAsia="zh-CN"/>
              </w:rPr>
              <w:t>的统筹协调、服务指导和监督检查，深圳市按《办法》规定自行开展相关工作，</w:t>
            </w:r>
            <w:r>
              <w:rPr>
                <w:rFonts w:hint="eastAsia" w:ascii="仿宋_GB2312" w:hAnsi="仿宋_GB2312" w:eastAsia="仿宋_GB2312" w:cs="仿宋_GB2312"/>
                <w:b w:val="0"/>
                <w:bCs w:val="0"/>
                <w:strike w:val="0"/>
                <w:dstrike w:val="0"/>
                <w:sz w:val="21"/>
                <w:szCs w:val="21"/>
                <w:u w:val="none"/>
                <w:lang w:val="en-US" w:eastAsia="zh-CN"/>
              </w:rPr>
              <w:t>并向省厅报告情况。根据《办法》“坚持分层分类分级指导”要求，</w:t>
            </w:r>
            <w:r>
              <w:rPr>
                <w:rFonts w:hint="eastAsia" w:ascii="仿宋_GB2312" w:hAnsi="仿宋_GB2312" w:eastAsia="仿宋_GB2312" w:cs="仿宋_GB2312"/>
                <w:b w:val="0"/>
                <w:bCs w:val="0"/>
                <w:strike w:val="0"/>
                <w:dstrike w:val="0"/>
                <w:color w:val="auto"/>
                <w:sz w:val="21"/>
                <w:szCs w:val="21"/>
                <w:u w:val="none"/>
                <w:lang w:val="en-US" w:eastAsia="zh-CN"/>
              </w:rPr>
              <w:t>按照国家和我省大力推进“</w:t>
            </w:r>
            <w:r>
              <w:rPr>
                <w:rFonts w:hint="default" w:ascii="仿宋_GB2312" w:hAnsi="仿宋_GB2312" w:eastAsia="仿宋_GB2312" w:cs="仿宋_GB2312"/>
                <w:b w:val="0"/>
                <w:bCs w:val="0"/>
                <w:strike w:val="0"/>
                <w:dstrike w:val="0"/>
                <w:color w:val="auto"/>
                <w:sz w:val="21"/>
                <w:szCs w:val="21"/>
                <w:u w:val="none"/>
                <w:lang w:val="en-US" w:eastAsia="zh-CN"/>
              </w:rPr>
              <w:t>放管服</w:t>
            </w:r>
            <w:r>
              <w:rPr>
                <w:rFonts w:hint="eastAsia" w:ascii="仿宋_GB2312" w:hAnsi="仿宋_GB2312" w:eastAsia="仿宋_GB2312" w:cs="仿宋_GB2312"/>
                <w:b w:val="0"/>
                <w:bCs w:val="0"/>
                <w:strike w:val="0"/>
                <w:dstrike w:val="0"/>
                <w:color w:val="auto"/>
                <w:sz w:val="21"/>
                <w:szCs w:val="21"/>
                <w:u w:val="none"/>
                <w:lang w:val="en-US" w:eastAsia="zh-CN"/>
              </w:rPr>
              <w:t>”改革要求，</w:t>
            </w:r>
            <w:r>
              <w:rPr>
                <w:rFonts w:hint="default" w:ascii="仿宋_GB2312" w:hAnsi="仿宋_GB2312" w:eastAsia="仿宋_GB2312" w:cs="仿宋_GB2312"/>
                <w:b w:val="0"/>
                <w:bCs w:val="0"/>
                <w:strike w:val="0"/>
                <w:dstrike w:val="0"/>
                <w:color w:val="auto"/>
                <w:sz w:val="21"/>
                <w:szCs w:val="21"/>
                <w:u w:val="none"/>
                <w:lang w:val="en-US" w:eastAsia="zh-CN"/>
              </w:rPr>
              <w:t>结合</w:t>
            </w:r>
            <w:r>
              <w:rPr>
                <w:rFonts w:hint="eastAsia" w:ascii="仿宋_GB2312" w:hAnsi="仿宋_GB2312" w:eastAsia="仿宋_GB2312" w:cs="仿宋_GB2312"/>
                <w:b w:val="0"/>
                <w:bCs w:val="0"/>
                <w:strike w:val="0"/>
                <w:dstrike w:val="0"/>
                <w:color w:val="auto"/>
                <w:sz w:val="21"/>
                <w:szCs w:val="21"/>
                <w:u w:val="none"/>
                <w:lang w:val="en-US" w:eastAsia="zh-CN"/>
              </w:rPr>
              <w:t>此前</w:t>
            </w:r>
            <w:r>
              <w:rPr>
                <w:rFonts w:hint="default" w:ascii="仿宋_GB2312" w:hAnsi="仿宋_GB2312" w:eastAsia="仿宋_GB2312" w:cs="仿宋_GB2312"/>
                <w:b w:val="0"/>
                <w:bCs w:val="0"/>
                <w:strike w:val="0"/>
                <w:dstrike w:val="0"/>
                <w:color w:val="auto"/>
                <w:sz w:val="21"/>
                <w:szCs w:val="21"/>
                <w:u w:val="none"/>
                <w:lang w:val="en-US" w:eastAsia="zh-CN"/>
              </w:rPr>
              <w:t>下放广州、佛山和东莞3市</w:t>
            </w:r>
            <w:r>
              <w:rPr>
                <w:rFonts w:hint="eastAsia" w:ascii="仿宋_GB2312" w:hAnsi="仿宋_GB2312" w:eastAsia="仿宋_GB2312" w:cs="仿宋_GB2312"/>
                <w:b w:val="0"/>
                <w:bCs w:val="0"/>
                <w:strike w:val="0"/>
                <w:dstrike w:val="0"/>
                <w:color w:val="auto"/>
                <w:sz w:val="21"/>
                <w:szCs w:val="21"/>
                <w:u w:val="none"/>
                <w:lang w:val="en-US" w:eastAsia="zh-CN"/>
              </w:rPr>
              <w:t>专精特新中小企业认定工作的实践</w:t>
            </w:r>
            <w:r>
              <w:rPr>
                <w:rFonts w:hint="default" w:ascii="仿宋_GB2312" w:hAnsi="仿宋_GB2312" w:eastAsia="仿宋_GB2312" w:cs="仿宋_GB2312"/>
                <w:b w:val="0"/>
                <w:bCs w:val="0"/>
                <w:strike w:val="0"/>
                <w:dstrike w:val="0"/>
                <w:color w:val="auto"/>
                <w:sz w:val="21"/>
                <w:szCs w:val="21"/>
                <w:u w:val="none"/>
                <w:lang w:val="en-US" w:eastAsia="zh-CN"/>
              </w:rPr>
              <w:t>，将</w:t>
            </w:r>
            <w:r>
              <w:rPr>
                <w:rFonts w:hint="eastAsia" w:ascii="仿宋_GB2312" w:hAnsi="仿宋_GB2312" w:eastAsia="仿宋_GB2312" w:cs="仿宋_GB2312"/>
                <w:b w:val="0"/>
                <w:bCs w:val="0"/>
                <w:strike w:val="0"/>
                <w:dstrike w:val="0"/>
                <w:color w:val="auto"/>
                <w:sz w:val="21"/>
                <w:szCs w:val="21"/>
                <w:u w:val="none"/>
                <w:lang w:val="en-US" w:eastAsia="zh-CN"/>
              </w:rPr>
              <w:t>专精特新</w:t>
            </w:r>
            <w:r>
              <w:rPr>
                <w:rFonts w:hint="default" w:ascii="仿宋_GB2312" w:hAnsi="仿宋_GB2312" w:eastAsia="仿宋_GB2312" w:cs="仿宋_GB2312"/>
                <w:b w:val="0"/>
                <w:bCs w:val="0"/>
                <w:strike w:val="0"/>
                <w:dstrike w:val="0"/>
                <w:color w:val="auto"/>
                <w:sz w:val="21"/>
                <w:szCs w:val="21"/>
                <w:u w:val="none"/>
                <w:lang w:val="en-US" w:eastAsia="zh-CN"/>
              </w:rPr>
              <w:t>中小企业审核、实地抽查和公示正式下放给</w:t>
            </w:r>
            <w:r>
              <w:rPr>
                <w:rFonts w:hint="eastAsia" w:ascii="仿宋_GB2312" w:hAnsi="仿宋_GB2312" w:eastAsia="仿宋_GB2312" w:cs="仿宋_GB2312"/>
                <w:b w:val="0"/>
                <w:bCs w:val="0"/>
                <w:strike w:val="0"/>
                <w:dstrike w:val="0"/>
                <w:color w:val="auto"/>
                <w:sz w:val="21"/>
                <w:szCs w:val="21"/>
                <w:u w:val="none"/>
                <w:lang w:val="en-US" w:eastAsia="zh-CN"/>
              </w:rPr>
              <w:t>全部</w:t>
            </w:r>
            <w:r>
              <w:rPr>
                <w:rFonts w:hint="default" w:ascii="仿宋_GB2312" w:hAnsi="仿宋_GB2312" w:eastAsia="仿宋_GB2312" w:cs="仿宋_GB2312"/>
                <w:b w:val="0"/>
                <w:bCs w:val="0"/>
                <w:strike w:val="0"/>
                <w:dstrike w:val="0"/>
                <w:color w:val="auto"/>
                <w:sz w:val="21"/>
                <w:szCs w:val="21"/>
                <w:u w:val="none"/>
                <w:lang w:val="en-US" w:eastAsia="zh-CN"/>
              </w:rPr>
              <w:t>地级以上市中小企业主管部门，进一步调动地市主观能动性</w:t>
            </w:r>
            <w:r>
              <w:rPr>
                <w:rFonts w:hint="eastAsia" w:ascii="仿宋_GB2312" w:hAnsi="仿宋_GB2312" w:eastAsia="仿宋_GB2312" w:cs="仿宋_GB2312"/>
                <w:b w:val="0"/>
                <w:bCs w:val="0"/>
                <w:strike w:val="0"/>
                <w:dstrike w:val="0"/>
                <w:color w:val="auto"/>
                <w:sz w:val="21"/>
                <w:szCs w:val="21"/>
                <w:u w:val="none"/>
                <w:lang w:val="en-US" w:eastAsia="zh-CN"/>
              </w:rPr>
              <w:t>，加大优质中小企业培育服务力度。删除</w:t>
            </w:r>
            <w:r>
              <w:rPr>
                <w:rFonts w:hint="eastAsia" w:ascii="仿宋_GB2312" w:hAnsi="仿宋_GB2312" w:eastAsia="仿宋_GB2312" w:cs="仿宋_GB2312"/>
                <w:b w:val="0"/>
                <w:bCs w:val="0"/>
                <w:strike w:val="0"/>
                <w:dstrike w:val="0"/>
                <w:sz w:val="21"/>
                <w:szCs w:val="21"/>
                <w:u w:val="none"/>
                <w:lang w:val="en-US" w:eastAsia="zh-CN"/>
              </w:rPr>
              <w:t>“创新型中小企业”</w:t>
            </w:r>
            <w:r>
              <w:rPr>
                <w:rFonts w:hint="eastAsia" w:ascii="仿宋_GB2312" w:hAnsi="仿宋_GB2312" w:eastAsia="仿宋_GB2312" w:cs="仿宋_GB2312"/>
                <w:b w:val="0"/>
                <w:bCs w:val="0"/>
                <w:strike w:val="0"/>
                <w:dstrike w:val="0"/>
                <w:color w:val="auto"/>
                <w:sz w:val="21"/>
                <w:szCs w:val="21"/>
                <w:u w:val="none"/>
                <w:lang w:val="en-US" w:eastAsia="zh-CN"/>
              </w:rPr>
              <w:t>，</w:t>
            </w:r>
            <w:r>
              <w:rPr>
                <w:rFonts w:hint="eastAsia" w:ascii="仿宋_GB2312" w:hAnsi="仿宋_GB2312" w:eastAsia="仿宋_GB2312" w:cs="仿宋_GB2312"/>
                <w:b w:val="0"/>
                <w:bCs w:val="0"/>
                <w:strike w:val="0"/>
                <w:dstrike w:val="0"/>
                <w:sz w:val="21"/>
                <w:szCs w:val="21"/>
                <w:u w:val="none"/>
                <w:lang w:val="en-US" w:eastAsia="zh-CN"/>
              </w:rPr>
              <w:t>科技和创新型中小企业培育管理的职责和权限待后续工业和信息化部联合有关部门发文规定，创新型中小企业目前相关工作，根据《办法》要求，继续按照《暂行办法》的评价标准、工作程序和职责开展，与工信部《办法》保持一致。</w:t>
            </w:r>
          </w:p>
        </w:tc>
      </w:tr>
      <w:tr w14:paraId="0F5B0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6"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64BA4242">
            <w:pPr>
              <w:widowControl/>
              <w:jc w:val="center"/>
              <w:textAlignment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第四条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02AD2622">
            <w:pPr>
              <w:widowControl/>
              <w:jc w:val="both"/>
              <w:textAlignment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参评优质中小企业应在广东省注册登记、具有独立法人资格，符合《中小企业划型标准规定》。</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76F307A1">
            <w:pPr>
              <w:widowControl/>
              <w:jc w:val="center"/>
              <w:textAlignment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trike w:val="0"/>
                <w:dstrike w:val="0"/>
                <w:sz w:val="21"/>
                <w:szCs w:val="21"/>
                <w:u w:val="none"/>
                <w:lang w:eastAsia="zh-CN"/>
              </w:rPr>
              <w:t>第十二条</w:t>
            </w:r>
          </w:p>
        </w:tc>
        <w:tc>
          <w:tcPr>
            <w:tcW w:w="3490" w:type="dxa"/>
            <w:vMerge w:val="restart"/>
            <w:tcBorders>
              <w:top w:val="single" w:color="000000" w:sz="4" w:space="0"/>
              <w:left w:val="single" w:color="000000" w:sz="4" w:space="0"/>
              <w:right w:val="single" w:color="000000" w:sz="4" w:space="0"/>
            </w:tcBorders>
            <w:noWrap w:val="0"/>
            <w:vAlign w:val="center"/>
          </w:tcPr>
          <w:p w14:paraId="4D636990">
            <w:pPr>
              <w:widowControl/>
              <w:jc w:val="both"/>
              <w:textAlignment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val="en-US" w:eastAsia="zh-CN"/>
              </w:rPr>
              <w:t>申报企业应在广东省依法设立，符合《中小企业划型标准规定》，遵守国家法律法规和行业规范。申报期间未被列入经营异常名录或严重失信主体名单，提供的产品（服务）不属于国家禁止、限制或淘汰类，同时近三年未发生较大生产安全事故、重大网络和数据安全事件、重大环境违法行为、严重质量问题、严重违反相关行业管理规定（统称合规经营）。应自主、如实申报，按要求填写申请表格并提供必要佐证材料。</w:t>
            </w:r>
          </w:p>
        </w:tc>
        <w:tc>
          <w:tcPr>
            <w:tcW w:w="3490" w:type="dxa"/>
            <w:vMerge w:val="restart"/>
            <w:tcBorders>
              <w:top w:val="single" w:color="000000" w:sz="4" w:space="0"/>
              <w:left w:val="single" w:color="000000" w:sz="4" w:space="0"/>
              <w:right w:val="single" w:color="000000" w:sz="4" w:space="0"/>
            </w:tcBorders>
            <w:noWrap w:val="0"/>
            <w:vAlign w:val="center"/>
          </w:tcPr>
          <w:p w14:paraId="0BAC0F66">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与工信部《办法》保持一致。</w:t>
            </w:r>
          </w:p>
        </w:tc>
      </w:tr>
      <w:tr w14:paraId="7DDAF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7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0D5CB152">
            <w:pPr>
              <w:widowControl/>
              <w:jc w:val="center"/>
              <w:textAlignment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第五条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148774A5">
            <w:pPr>
              <w:widowControl/>
              <w:jc w:val="both"/>
              <w:textAlignment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企业未被列入经营异常名录或严重失信主体名单，提供的产品（服务）不属于国家禁止、限制或淘汰类，同时近三年未发生重大及以上安全（含网络安全、数据安全）、质量、环境污染等事故以及偷漏税等违法违规行为（以上统称合规经营）。</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3EFCB3B0">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十二</w:t>
            </w:r>
            <w:r>
              <w:rPr>
                <w:rFonts w:hint="eastAsia" w:ascii="仿宋_GB2312" w:hAnsi="仿宋_GB2312" w:eastAsia="仿宋_GB2312" w:cs="仿宋_GB2312"/>
                <w:b w:val="0"/>
                <w:bCs w:val="0"/>
                <w:strike w:val="0"/>
                <w:dstrike w:val="0"/>
                <w:sz w:val="21"/>
                <w:szCs w:val="21"/>
                <w:u w:val="none"/>
                <w:lang w:eastAsia="zh-CN"/>
              </w:rPr>
              <w:t>条</w:t>
            </w:r>
          </w:p>
        </w:tc>
        <w:tc>
          <w:tcPr>
            <w:tcW w:w="3490" w:type="dxa"/>
            <w:vMerge w:val="continue"/>
            <w:tcBorders>
              <w:left w:val="single" w:color="000000" w:sz="4" w:space="0"/>
              <w:bottom w:val="single" w:color="000000" w:sz="4" w:space="0"/>
              <w:right w:val="single" w:color="000000" w:sz="4" w:space="0"/>
            </w:tcBorders>
            <w:noWrap w:val="0"/>
            <w:vAlign w:val="center"/>
          </w:tcPr>
          <w:p w14:paraId="205CBEE4">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p>
        </w:tc>
        <w:tc>
          <w:tcPr>
            <w:tcW w:w="3490" w:type="dxa"/>
            <w:vMerge w:val="continue"/>
            <w:tcBorders>
              <w:left w:val="single" w:color="000000" w:sz="4" w:space="0"/>
              <w:bottom w:val="single" w:color="000000" w:sz="4" w:space="0"/>
              <w:right w:val="single" w:color="000000" w:sz="4" w:space="0"/>
            </w:tcBorders>
            <w:noWrap w:val="0"/>
            <w:vAlign w:val="center"/>
          </w:tcPr>
          <w:p w14:paraId="17AFC41B">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p>
        </w:tc>
      </w:tr>
      <w:tr w14:paraId="0A4B2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5" w:hRule="atLeast"/>
          <w:jc w:val="center"/>
        </w:trPr>
        <w:tc>
          <w:tcPr>
            <w:tcW w:w="1152" w:type="dxa"/>
            <w:vMerge w:val="restart"/>
            <w:tcBorders>
              <w:top w:val="single" w:color="000000" w:sz="4" w:space="0"/>
              <w:left w:val="single" w:color="auto" w:sz="4" w:space="0"/>
              <w:right w:val="single" w:color="000000" w:sz="4" w:space="0"/>
            </w:tcBorders>
            <w:noWrap w:val="0"/>
            <w:vAlign w:val="center"/>
          </w:tcPr>
          <w:p w14:paraId="59022019">
            <w:pPr>
              <w:spacing w:line="240" w:lineRule="auto"/>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第六条</w:t>
            </w:r>
          </w:p>
        </w:tc>
        <w:tc>
          <w:tcPr>
            <w:tcW w:w="4121" w:type="dxa"/>
            <w:gridSpan w:val="3"/>
            <w:vMerge w:val="restart"/>
            <w:tcBorders>
              <w:top w:val="single" w:color="000000" w:sz="4" w:space="0"/>
              <w:left w:val="single" w:color="000000" w:sz="4" w:space="0"/>
              <w:right w:val="single" w:color="000000" w:sz="4" w:space="0"/>
            </w:tcBorders>
            <w:noWrap w:val="0"/>
            <w:vAlign w:val="center"/>
          </w:tcPr>
          <w:p w14:paraId="31B94280">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优质中小企业梯度培育工作，坚持分层分类分级指导，坚持专精特新发展方向，坚持动态管理和精准服务。到2027年，累计培育超2000家专精特新“小巨人”企业、20000家左右专精特新中小企业和100000家左右创新型中小企业。</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7059D36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第四条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7AE98F4">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优质中小企业梯度培育工作，坚持落实“两个毫不动摇”，坚持有效市场和有为政府相结合，坚持专精特新发展方向，坚持分层分类分级指导，坚持动态管理和精准服务。</w:t>
            </w:r>
          </w:p>
        </w:tc>
        <w:tc>
          <w:tcPr>
            <w:tcW w:w="3490" w:type="dxa"/>
            <w:vMerge w:val="restart"/>
            <w:tcBorders>
              <w:top w:val="single" w:color="000000" w:sz="4" w:space="0"/>
              <w:left w:val="single" w:color="000000" w:sz="4" w:space="0"/>
              <w:right w:val="single" w:color="000000" w:sz="4" w:space="0"/>
            </w:tcBorders>
            <w:noWrap w:val="0"/>
            <w:vAlign w:val="center"/>
          </w:tcPr>
          <w:p w14:paraId="43DAA5BC">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根据《办法》</w:t>
            </w:r>
            <w:r>
              <w:rPr>
                <w:rFonts w:hint="default" w:ascii="仿宋_GB2312" w:hAnsi="仿宋_GB2312" w:eastAsia="仿宋_GB2312" w:cs="仿宋_GB2312"/>
                <w:b w:val="0"/>
                <w:bCs w:val="0"/>
                <w:strike w:val="0"/>
                <w:dstrike w:val="0"/>
                <w:sz w:val="21"/>
                <w:szCs w:val="21"/>
                <w:u w:val="none"/>
                <w:lang w:val="en-US" w:eastAsia="zh-CN"/>
              </w:rPr>
              <w:t>“</w:t>
            </w:r>
            <w:r>
              <w:rPr>
                <w:rFonts w:hint="eastAsia" w:ascii="仿宋_GB2312" w:hAnsi="仿宋_GB2312" w:eastAsia="仿宋_GB2312" w:cs="仿宋_GB2312"/>
                <w:b w:val="0"/>
                <w:bCs w:val="0"/>
                <w:strike w:val="0"/>
                <w:dstrike w:val="0"/>
                <w:sz w:val="21"/>
                <w:szCs w:val="21"/>
                <w:u w:val="none"/>
                <w:lang w:val="en-US" w:eastAsia="zh-CN"/>
              </w:rPr>
              <w:t>各级中小企业主管部门应着力把功夫下到培育和服务上，坚持质量为先，不层层设定培育数量指标</w:t>
            </w:r>
            <w:r>
              <w:rPr>
                <w:rFonts w:hint="default" w:ascii="仿宋_GB2312" w:hAnsi="仿宋_GB2312" w:eastAsia="仿宋_GB2312" w:cs="仿宋_GB2312"/>
                <w:b w:val="0"/>
                <w:bCs w:val="0"/>
                <w:strike w:val="0"/>
                <w:dstrike w:val="0"/>
                <w:sz w:val="21"/>
                <w:szCs w:val="21"/>
                <w:u w:val="none"/>
                <w:lang w:val="en-US" w:eastAsia="zh-CN"/>
              </w:rPr>
              <w:t>”</w:t>
            </w:r>
            <w:r>
              <w:rPr>
                <w:rFonts w:hint="eastAsia" w:ascii="仿宋_GB2312" w:hAnsi="仿宋_GB2312" w:eastAsia="仿宋_GB2312" w:cs="仿宋_GB2312"/>
                <w:b w:val="0"/>
                <w:bCs w:val="0"/>
                <w:strike w:val="0"/>
                <w:dstrike w:val="0"/>
                <w:sz w:val="21"/>
                <w:szCs w:val="21"/>
                <w:u w:val="none"/>
                <w:lang w:val="en-US" w:eastAsia="zh-CN"/>
              </w:rPr>
              <w:t>，本次修订不再设定培育数量指标。修订后与工信部《办法》保持一致。</w:t>
            </w:r>
          </w:p>
        </w:tc>
      </w:tr>
      <w:tr w14:paraId="0225C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93" w:hRule="atLeast"/>
          <w:jc w:val="center"/>
        </w:trPr>
        <w:tc>
          <w:tcPr>
            <w:tcW w:w="1152" w:type="dxa"/>
            <w:vMerge w:val="continue"/>
            <w:tcBorders>
              <w:left w:val="single" w:color="auto" w:sz="4" w:space="0"/>
              <w:bottom w:val="single" w:color="000000" w:sz="4" w:space="0"/>
              <w:right w:val="single" w:color="000000" w:sz="4" w:space="0"/>
            </w:tcBorders>
            <w:noWrap w:val="0"/>
            <w:vAlign w:val="center"/>
          </w:tcPr>
          <w:p w14:paraId="7DDEA272">
            <w:pPr>
              <w:spacing w:line="240" w:lineRule="auto"/>
              <w:jc w:val="center"/>
              <w:rPr>
                <w:rFonts w:hint="eastAsia" w:ascii="仿宋_GB2312" w:hAnsi="仿宋_GB2312" w:eastAsia="仿宋_GB2312" w:cs="仿宋_GB2312"/>
                <w:b w:val="0"/>
                <w:bCs w:val="0"/>
                <w:strike w:val="0"/>
                <w:dstrike w:val="0"/>
                <w:sz w:val="21"/>
                <w:szCs w:val="21"/>
                <w:u w:val="none"/>
                <w:lang w:eastAsia="zh-CN"/>
              </w:rPr>
            </w:pPr>
          </w:p>
        </w:tc>
        <w:tc>
          <w:tcPr>
            <w:tcW w:w="4121" w:type="dxa"/>
            <w:gridSpan w:val="3"/>
            <w:vMerge w:val="continue"/>
            <w:tcBorders>
              <w:left w:val="single" w:color="000000" w:sz="4" w:space="0"/>
              <w:bottom w:val="single" w:color="000000" w:sz="4" w:space="0"/>
              <w:right w:val="single" w:color="000000" w:sz="4" w:space="0"/>
            </w:tcBorders>
            <w:noWrap w:val="0"/>
            <w:vAlign w:val="center"/>
          </w:tcPr>
          <w:p w14:paraId="574294E4">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4FFFC51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第五条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1EE7E13">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各级中小企业主管部门应通过培育平台组织开展认定工作，加强服务对接和监测分析，跟踪企业运行、发展态势、意见诉求，以及扶持政策与培育成效，有针对性地制定政策和开展精准服务。落实数字政府建设要求,推动数据互通共享，减轻企业数据填报负担。</w:t>
            </w:r>
          </w:p>
        </w:tc>
        <w:tc>
          <w:tcPr>
            <w:tcW w:w="3490" w:type="dxa"/>
            <w:vMerge w:val="continue"/>
            <w:tcBorders>
              <w:left w:val="single" w:color="000000" w:sz="4" w:space="0"/>
              <w:bottom w:val="single" w:color="000000" w:sz="4" w:space="0"/>
              <w:right w:val="single" w:color="000000" w:sz="4" w:space="0"/>
            </w:tcBorders>
            <w:noWrap w:val="0"/>
            <w:vAlign w:val="center"/>
          </w:tcPr>
          <w:p w14:paraId="68C37484">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strike w:val="0"/>
                <w:dstrike w:val="0"/>
                <w:sz w:val="21"/>
                <w:szCs w:val="21"/>
                <w:u w:val="none"/>
                <w:lang w:val="en-US" w:eastAsia="zh-CN"/>
              </w:rPr>
            </w:pPr>
          </w:p>
        </w:tc>
      </w:tr>
      <w:tr w14:paraId="5F74E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0"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217B819D">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b w:val="0"/>
                <w:bCs w:val="0"/>
                <w:strike w:val="0"/>
                <w:dstrike w:val="0"/>
                <w:sz w:val="21"/>
                <w:szCs w:val="21"/>
                <w:u w:val="none"/>
                <w:lang w:eastAsia="zh-CN"/>
              </w:rPr>
            </w:pP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7C003304">
            <w:pPr>
              <w:keepNext w:val="0"/>
              <w:keepLines w:val="0"/>
              <w:pageBreakBefore w:val="0"/>
              <w:widowControl/>
              <w:kinsoku/>
              <w:wordWrap/>
              <w:overflowPunct/>
              <w:topLinePunct w:val="0"/>
              <w:autoSpaceDE/>
              <w:autoSpaceDN/>
              <w:bidi w:val="0"/>
              <w:adjustRightInd/>
              <w:snapToGrid/>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bCs/>
                <w:strike w:val="0"/>
                <w:dstrike w:val="0"/>
                <w:sz w:val="21"/>
                <w:szCs w:val="21"/>
                <w:u w:val="none"/>
                <w:lang w:eastAsia="zh-CN"/>
              </w:rPr>
              <w:t>第二章</w:t>
            </w:r>
            <w:r>
              <w:rPr>
                <w:rFonts w:hint="eastAsia" w:ascii="仿宋_GB2312" w:hAnsi="仿宋_GB2312" w:eastAsia="仿宋_GB2312" w:cs="仿宋_GB2312"/>
                <w:b/>
                <w:bCs/>
                <w:strike w:val="0"/>
                <w:dstrike w:val="0"/>
                <w:sz w:val="21"/>
                <w:szCs w:val="21"/>
                <w:u w:val="none"/>
                <w:lang w:val="en-US" w:eastAsia="zh-CN"/>
              </w:rPr>
              <w:t xml:space="preserve"> 评价、认定和推荐</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138176D6">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76E14416">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bCs/>
                <w:strike w:val="0"/>
                <w:dstrike w:val="0"/>
                <w:sz w:val="21"/>
                <w:szCs w:val="21"/>
                <w:u w:val="none"/>
                <w:lang w:val="en-US" w:eastAsia="zh-CN"/>
              </w:rPr>
              <w:t>第二章 认定和推荐</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395C2465">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将原第四、五条修改为现第十二条，纳入第二章，与工信部《办法》一致。</w:t>
            </w:r>
          </w:p>
        </w:tc>
      </w:tr>
      <w:tr w14:paraId="2123C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0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4EFEF83F">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第七条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624A0426">
            <w:pPr>
              <w:keepNext w:val="0"/>
              <w:keepLines w:val="0"/>
              <w:pageBreakBefore w:val="0"/>
              <w:widowControl/>
              <w:kinsoku/>
              <w:wordWrap/>
              <w:overflowPunct/>
              <w:topLinePunct w:val="0"/>
              <w:autoSpaceDE/>
              <w:autoSpaceDN/>
              <w:bidi w:val="0"/>
              <w:adjustRightInd/>
              <w:snapToGrid/>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评价、认定和推荐工作坚持政策引领、企业自愿、培育促进、公开透明的原则，按照“谁推荐、谁把关，谁审核、谁管理”方式统筹开展、有序推进。</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62028FA2">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六</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667451D5">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地级市以上中小企业主管部门按照谁推荐、谁把关，谁审核、谁管理方式组织开展优质中小企业认定工作。</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64F72303">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与工信部《办法》保持一致。</w:t>
            </w:r>
          </w:p>
        </w:tc>
      </w:tr>
      <w:tr w14:paraId="497FD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6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3F271A75">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第八条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586D3C3E">
            <w:pPr>
              <w:keepNext w:val="0"/>
              <w:keepLines w:val="0"/>
              <w:pageBreakBefore w:val="0"/>
              <w:widowControl/>
              <w:tabs>
                <w:tab w:val="left" w:pos="667"/>
              </w:tabs>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依据工业和信息化部发布的优质中小企业评价和认定标准，结合广东省产业状况和中小企业发展实际，参评创新型中小企业、专精特新中小企业和专精特新“小巨人”企业应符合本实施细则附件对应的评价（认定）标准条件。相关指标说明按照《暂行办法》的规定执行。省工业和信息化厅根据工业和信息化部的相关要求，适时更新公布评价（认定）标准。</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31AAA524">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七</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175B8BF0">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根据工业和信息化部发布的优质中小企业评价和认定标准，组织对企业申请材料和相关佐证材料进行审核，相关指标说明按照《办法》的规定执行。省工业和信息化厅根据工业和信息化部的相关要求，适时更新公布评价（认定）标准。（附件1、2）。</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2109AA1D">
            <w:pPr>
              <w:widowControl/>
              <w:jc w:val="left"/>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删除“创新型中小企业”，与工信部《办法》保持一致。完全落实《办法》明确的认定标准，真正按工信部要求，做到全国一把尺子量到底。</w:t>
            </w:r>
          </w:p>
        </w:tc>
      </w:tr>
      <w:tr w14:paraId="1EC81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87"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75589C6B">
            <w:pPr>
              <w:spacing w:line="240" w:lineRule="auto"/>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第九条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677732F6">
            <w:pPr>
              <w:widowControl/>
              <w:tabs>
                <w:tab w:val="left" w:pos="667"/>
              </w:tabs>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创新型中小企业评价</w:t>
            </w:r>
          </w:p>
          <w:p w14:paraId="52F0C3A0">
            <w:pPr>
              <w:widowControl/>
              <w:tabs>
                <w:tab w:val="left" w:pos="667"/>
              </w:tabs>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（一）企业按属地原则可随时自愿登录优质中小企业梯度培育平台（https://zjtx.miit.gov.cn/，以下简称培育平台）参与自评，并作出真实性声明和合规经营承诺。</w:t>
            </w:r>
          </w:p>
          <w:p w14:paraId="413AFFB5">
            <w:pPr>
              <w:widowControl/>
              <w:tabs>
                <w:tab w:val="left" w:pos="667"/>
              </w:tabs>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二）地级以上市中小企业主管部门登录信用中国和国家企业信用信息公示系统查询企业合规经营情况，对企业自评信息和相关佐证材料进行审核、实地抽查和公示，公示无异议的，报送省工业和信息化厅，由省工业和信息化厅公告为创新型中小企业。</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4C5D9F8C">
            <w:pPr>
              <w:widowControl/>
              <w:jc w:val="center"/>
              <w:textAlignment w:val="center"/>
              <w:rPr>
                <w:rFonts w:hint="eastAsia" w:ascii="仿宋_GB2312" w:hAnsi="仿宋_GB2312" w:eastAsia="仿宋_GB2312" w:cs="仿宋_GB2312"/>
                <w:b w:val="0"/>
                <w:bCs w:val="0"/>
                <w:strike w:val="0"/>
                <w:dstrike w:val="0"/>
                <w:sz w:val="21"/>
                <w:szCs w:val="21"/>
                <w:u w:val="none"/>
                <w:lang w:eastAsia="zh-CN"/>
              </w:rPr>
            </w:pP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21D7A97D">
            <w:pPr>
              <w:widowControl/>
              <w:jc w:val="center"/>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删除</w:t>
            </w:r>
            <w:r>
              <w:rPr>
                <w:rFonts w:hint="default" w:ascii="仿宋_GB2312" w:hAnsi="仿宋_GB2312" w:eastAsia="仿宋_GB2312" w:cs="仿宋_GB2312"/>
                <w:b w:val="0"/>
                <w:bCs w:val="0"/>
                <w:strike w:val="0"/>
                <w:dstrike w:val="0"/>
                <w:sz w:val="21"/>
                <w:szCs w:val="21"/>
                <w:u w:val="none"/>
                <w:lang w:val="en-US" w:eastAsia="zh-CN"/>
              </w:rPr>
              <w:t>此</w:t>
            </w:r>
            <w:r>
              <w:rPr>
                <w:rFonts w:hint="eastAsia" w:ascii="仿宋_GB2312" w:hAnsi="仿宋_GB2312" w:eastAsia="仿宋_GB2312" w:cs="仿宋_GB2312"/>
                <w:b w:val="0"/>
                <w:bCs w:val="0"/>
                <w:strike w:val="0"/>
                <w:dstrike w:val="0"/>
                <w:sz w:val="21"/>
                <w:szCs w:val="21"/>
                <w:u w:val="none"/>
                <w:lang w:val="en-US" w:eastAsia="zh-CN"/>
              </w:rPr>
              <w:t>条款。</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61110623">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科技和创新型中小企业培育管理的职责和权限待后续工业和信息化部联合有关部门发文规定，创新型中小企业目前相关工作，根据《办法》要求，继续按照《暂行办法》的评价标准、工作程序和职责开展，与工信部《办法》保持一致。</w:t>
            </w:r>
          </w:p>
        </w:tc>
      </w:tr>
      <w:tr w14:paraId="29B8A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01032FFD">
            <w:pPr>
              <w:spacing w:line="240" w:lineRule="auto"/>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第十条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51F976E2">
            <w:pPr>
              <w:keepNext w:val="0"/>
              <w:keepLines w:val="0"/>
              <w:pageBreakBefore w:val="0"/>
              <w:widowControl/>
              <w:tabs>
                <w:tab w:val="left" w:pos="667"/>
              </w:tabs>
              <w:kinsoku/>
              <w:wordWrap/>
              <w:overflowPunct/>
              <w:topLinePunct w:val="0"/>
              <w:autoSpaceDE/>
              <w:autoSpaceDN/>
              <w:bidi w:val="0"/>
              <w:adjustRightInd/>
              <w:snapToGrid/>
              <w:spacing w:line="260" w:lineRule="exact"/>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专精特新中小企业认定</w:t>
            </w:r>
          </w:p>
          <w:p w14:paraId="06247619">
            <w:pPr>
              <w:keepNext w:val="0"/>
              <w:keepLines w:val="0"/>
              <w:pageBreakBefore w:val="0"/>
              <w:widowControl/>
              <w:tabs>
                <w:tab w:val="left" w:pos="667"/>
              </w:tabs>
              <w:kinsoku/>
              <w:wordWrap/>
              <w:overflowPunct/>
              <w:topLinePunct w:val="0"/>
              <w:autoSpaceDE/>
              <w:autoSpaceDN/>
              <w:bidi w:val="0"/>
              <w:adjustRightInd/>
              <w:snapToGrid/>
              <w:spacing w:line="260" w:lineRule="exact"/>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（一）由创新型中小企业按属地原则自愿登录培育平台提出申请，并作出真实性声明和合规经营承诺。</w:t>
            </w:r>
          </w:p>
          <w:p w14:paraId="41A547ED">
            <w:pPr>
              <w:keepNext w:val="0"/>
              <w:keepLines w:val="0"/>
              <w:pageBreakBefore w:val="0"/>
              <w:widowControl/>
              <w:tabs>
                <w:tab w:val="left" w:pos="667"/>
              </w:tabs>
              <w:kinsoku/>
              <w:wordWrap/>
              <w:overflowPunct/>
              <w:topLinePunct w:val="0"/>
              <w:autoSpaceDE/>
              <w:autoSpaceDN/>
              <w:bidi w:val="0"/>
              <w:adjustRightInd/>
              <w:snapToGrid/>
              <w:spacing w:line="260" w:lineRule="exact"/>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二）广州、佛山和东莞市中小企业主管部门登录信用中国和国家企业信用信息公示系统查询企业合规经营情况，可根据工作实际就合规经营情况征求网信、发展改革、生态环境、应急管理、市场监管、税务等相关职能部门意见，对企业申请材料和相关佐证材料进行审核、实地抽查和公示，公示无异议的，报送省工业和信息化厅。</w:t>
            </w:r>
          </w:p>
          <w:p w14:paraId="5BDA52E7">
            <w:pPr>
              <w:keepNext w:val="0"/>
              <w:keepLines w:val="0"/>
              <w:pageBreakBefore w:val="0"/>
              <w:widowControl/>
              <w:tabs>
                <w:tab w:val="left" w:pos="667"/>
              </w:tabs>
              <w:kinsoku/>
              <w:wordWrap/>
              <w:overflowPunct/>
              <w:topLinePunct w:val="0"/>
              <w:autoSpaceDE/>
              <w:autoSpaceDN/>
              <w:bidi w:val="0"/>
              <w:adjustRightInd/>
              <w:snapToGrid/>
              <w:spacing w:line="260" w:lineRule="exact"/>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三）其他地市中小企业主管部门登录信用中国和国家企业信用信息公示系统查询企业合规经营情况，可根据工作实际就合规经营情况征求网信、发展改革、生态环境、应急管理、市场监管、税务等相关职能部门意见，对企业申请材料和相关佐证材料进行初审、实地抽查，并加具意见报送省工业和信息化厅。</w:t>
            </w:r>
          </w:p>
          <w:p w14:paraId="112C500E">
            <w:pPr>
              <w:keepNext w:val="0"/>
              <w:keepLines w:val="0"/>
              <w:pageBreakBefore w:val="0"/>
              <w:widowControl/>
              <w:tabs>
                <w:tab w:val="left" w:pos="667"/>
              </w:tabs>
              <w:kinsoku/>
              <w:wordWrap/>
              <w:overflowPunct/>
              <w:topLinePunct w:val="0"/>
              <w:autoSpaceDE/>
              <w:autoSpaceDN/>
              <w:bidi w:val="0"/>
              <w:adjustRightInd/>
              <w:snapToGrid/>
              <w:spacing w:line="260" w:lineRule="exact"/>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四）省工业和信息化厅对其他地市中小企业主管部门推荐企业申请材料和相关佐证材料进行审核，视情况征求省有关部门意见，组织公示，连同广州、佛山和东莞市中小企业主管部门公示无异议的，认定为专精特新中小企业。</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2378B9D1">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八</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5497DE7">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专精特新中小企业认定</w:t>
            </w:r>
          </w:p>
          <w:p w14:paraId="7F7E26FC">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（一）由科技和创新型中小企业按属地原则自愿申报，登录优质中小企业梯度培育平台提出申请，并作出真实性声明和合规经营承诺。</w:t>
            </w:r>
          </w:p>
          <w:p w14:paraId="3B0B27BA">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二）地级以上市中小企业主管部门登录信用中国和国家企业信用信息公示系统查询企业合规经营情况，可根据工作实际就合规经营情况征求网信、发展改革、生态环境、应急管理、市场监管等相关职能部门意见，对企业申请材料和相关佐证材料进行审核、实地抽查和公示，公示无异议的，报送省工业和信息化厅，由省工业和信息化厅抽查、认定为专精特新中小企业。</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360D073D">
            <w:pPr>
              <w:widowControl/>
              <w:jc w:val="both"/>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“创新型中小企业”修改为“科技和创新型中小企业”，与工信部《办法》保持一致</w:t>
            </w:r>
            <w:r>
              <w:rPr>
                <w:rFonts w:hint="eastAsia" w:ascii="仿宋_GB2312" w:hAnsi="仿宋_GB2312" w:eastAsia="仿宋_GB2312" w:cs="仿宋_GB2312"/>
                <w:b w:val="0"/>
                <w:bCs w:val="0"/>
                <w:strike w:val="0"/>
                <w:dstrike w:val="0"/>
                <w:color w:val="auto"/>
                <w:sz w:val="21"/>
                <w:szCs w:val="21"/>
                <w:u w:val="none"/>
                <w:lang w:val="en-US" w:eastAsia="zh-CN"/>
              </w:rPr>
              <w:t>。根据《办法》“坚持分层分类分级指导”要求，按照国家和我省大力推进“放管服”改革要求，结合此前下放广州、佛山和东莞3市专精特新中小企业认定工作的实践，将专精特新中小企业审核、实地抽查和公示正式下放给全部地级以上市中小企业主管部门，进一步调动地市主观能动性，加大优质中小企业培育服务力度。</w:t>
            </w:r>
          </w:p>
        </w:tc>
      </w:tr>
      <w:tr w14:paraId="4A570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3B5164D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第十一条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6AA19E45">
            <w:pPr>
              <w:keepNext w:val="0"/>
              <w:keepLines w:val="0"/>
              <w:pageBreakBefore w:val="0"/>
              <w:widowControl/>
              <w:tabs>
                <w:tab w:val="left" w:pos="667"/>
              </w:tabs>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专精特新“小巨人”企业推荐</w:t>
            </w:r>
          </w:p>
          <w:p w14:paraId="6D8B7BD0">
            <w:pPr>
              <w:keepNext w:val="0"/>
              <w:keepLines w:val="0"/>
              <w:pageBreakBefore w:val="0"/>
              <w:widowControl/>
              <w:tabs>
                <w:tab w:val="left" w:pos="667"/>
              </w:tabs>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（一）由专精特新中小企业按属地原则自愿登录培育平台提出申请，并作出真实性声明和合规经营承诺。</w:t>
            </w:r>
          </w:p>
          <w:p w14:paraId="12C0ECA9">
            <w:pPr>
              <w:keepNext w:val="0"/>
              <w:keepLines w:val="0"/>
              <w:pageBreakBefore w:val="0"/>
              <w:widowControl/>
              <w:tabs>
                <w:tab w:val="left" w:pos="667"/>
              </w:tabs>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（二）地级以上市中小企业主管部门协助对企业申请材料和相关佐证材料进行初审、实地抽查，并加具意见报送省工业和信息化厅。</w:t>
            </w:r>
          </w:p>
          <w:p w14:paraId="28CD44F9">
            <w:pPr>
              <w:keepNext w:val="0"/>
              <w:keepLines w:val="0"/>
              <w:pageBreakBefore w:val="0"/>
              <w:widowControl/>
              <w:tabs>
                <w:tab w:val="left" w:pos="667"/>
              </w:tabs>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（三）省工业和信息化厅对企业申请材料和相关佐证材料进行审核，登录信用中国和国家企业信用信息公示系统查询企业合规经营情况，并将审核通过的向工业和信息化部推荐。</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4DC95774">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九</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4B5FF345">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专精特新“小巨人”企业推荐</w:t>
            </w:r>
          </w:p>
          <w:p w14:paraId="3E88E44C">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（一）由专精特新中小企业按属地原则自愿申报，登录培育平台提出申请，并作出真实性声明和合规经营承诺。</w:t>
            </w:r>
          </w:p>
          <w:p w14:paraId="257D7A5A">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（二）地级以上市中小企业主管部门协助对企业申请材料和相关佐证材料进行初审、实地抽查，并加具意见报送省工业和信息化厅。</w:t>
            </w:r>
          </w:p>
          <w:p w14:paraId="328D54C1">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（三）省工业和信息化厅登录信用中国和国家企业信用信息公示系统查询企业合规经营情况，对企业申请材料和相关佐证材料进行审核和公示，公示通过的，向工业和信息化部推荐。</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3DBB644D">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color w:val="auto"/>
                <w:sz w:val="21"/>
                <w:szCs w:val="21"/>
                <w:u w:val="none"/>
                <w:lang w:val="en-US" w:eastAsia="zh-CN"/>
              </w:rPr>
              <w:t>“小巨人”企业推荐，增加了省级中小企业主管部门组织公示环节，落实工信部《办法》要求，与《办法》保持一致。</w:t>
            </w:r>
          </w:p>
        </w:tc>
      </w:tr>
      <w:tr w14:paraId="441A2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3"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4A8CE30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b w:val="0"/>
                <w:bCs w:val="0"/>
                <w:strike w:val="0"/>
                <w:dstrike w:val="0"/>
                <w:sz w:val="21"/>
                <w:szCs w:val="21"/>
                <w:u w:val="none"/>
                <w:lang w:eastAsia="zh-CN"/>
              </w:rPr>
            </w:pP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4D47194A">
            <w:pPr>
              <w:keepNext w:val="0"/>
              <w:keepLines w:val="0"/>
              <w:pageBreakBefore w:val="0"/>
              <w:widowControl/>
              <w:tabs>
                <w:tab w:val="left" w:pos="667"/>
              </w:tabs>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1"/>
                <w:szCs w:val="21"/>
                <w:u w:val="none"/>
              </w:rPr>
            </w:pP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31AE1E65">
            <w:pPr>
              <w:widowControl/>
              <w:jc w:val="center"/>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第十条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19B28FFE">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各级中小企业主管部门应建立健全优质中小企业主动发现机制，充分挖掘产业链供应链、股权投资、知识产权、科技奖项、人才引育等数据，常态化发现潜在优质中小企业，定向邀请其参加认定。认定标准不降低。</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4785E855">
            <w:pPr>
              <w:widowControl/>
              <w:jc w:val="left"/>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增加一条，与工信部《办法》保持一致。</w:t>
            </w:r>
          </w:p>
        </w:tc>
      </w:tr>
      <w:tr w14:paraId="2DF25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3"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52BBDBC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b w:val="0"/>
                <w:bCs w:val="0"/>
                <w:strike w:val="0"/>
                <w:dstrike w:val="0"/>
                <w:sz w:val="21"/>
                <w:szCs w:val="21"/>
                <w:u w:val="none"/>
                <w:lang w:eastAsia="zh-CN"/>
              </w:rPr>
            </w:pP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41121BD6">
            <w:pPr>
              <w:keepNext w:val="0"/>
              <w:keepLines w:val="0"/>
              <w:pageBreakBefore w:val="0"/>
              <w:widowControl/>
              <w:tabs>
                <w:tab w:val="left" w:pos="667"/>
              </w:tabs>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1"/>
                <w:szCs w:val="21"/>
                <w:u w:val="none"/>
              </w:rPr>
            </w:pP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3B6A4BDB">
            <w:pPr>
              <w:widowControl/>
              <w:jc w:val="center"/>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第十一条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03DE83D">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在专精特新中小企业审核和专精特新“小巨人”企业推荐工作中，地级市以上中小企业主管部门应健全审核机制、规范全过程管理，组织专家严格对照认定标准，重点对企业申请材料和数据的真实性、准确性、完整性，以及是否符合认定标准等情况进行审核。应采取“双随机”（随机抽取专家组成多个评审专家组、即时随机派发审核任务）形式开展审核，评审专家组应包含一定数量的产业专家和财务专家。</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2AC490F1">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增加一条，与工信部《办法》保持一致。</w:t>
            </w:r>
          </w:p>
        </w:tc>
      </w:tr>
      <w:tr w14:paraId="06F96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3"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304B64E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b w:val="0"/>
                <w:bCs w:val="0"/>
                <w:strike w:val="0"/>
                <w:dstrike w:val="0"/>
                <w:sz w:val="21"/>
                <w:szCs w:val="21"/>
                <w:u w:val="none"/>
                <w:lang w:eastAsia="zh-CN"/>
              </w:rPr>
            </w:pP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3CC4843B">
            <w:pPr>
              <w:keepNext w:val="0"/>
              <w:keepLines w:val="0"/>
              <w:pageBreakBefore w:val="0"/>
              <w:widowControl/>
              <w:tabs>
                <w:tab w:val="left" w:pos="667"/>
              </w:tabs>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1"/>
                <w:szCs w:val="21"/>
                <w:u w:val="none"/>
              </w:rPr>
            </w:pP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268AC8EB">
            <w:pPr>
              <w:widowControl/>
              <w:jc w:val="center"/>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第十三条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6EEF43F0">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各级中小企业主管部门及其相关支撑单位应加强宣传培训,指导企业做好申报工作,不得以任何名义直接或变相向申报企业收取费用。</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7C2DB391">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增加一条，与工信部《办法》保持一致。</w:t>
            </w:r>
          </w:p>
        </w:tc>
      </w:tr>
      <w:tr w14:paraId="375C9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18"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38C63E9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b w:val="0"/>
                <w:bCs w:val="0"/>
                <w:strike w:val="0"/>
                <w:dstrike w:val="0"/>
                <w:sz w:val="21"/>
                <w:szCs w:val="21"/>
                <w:u w:val="none"/>
                <w:lang w:eastAsia="zh-CN"/>
              </w:rPr>
            </w:pP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31DB7632">
            <w:pPr>
              <w:keepNext w:val="0"/>
              <w:keepLines w:val="0"/>
              <w:pageBreakBefore w:val="0"/>
              <w:widowControl/>
              <w:tabs>
                <w:tab w:val="left" w:pos="667"/>
              </w:tabs>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1"/>
                <w:szCs w:val="21"/>
                <w:u w:val="none"/>
              </w:rPr>
            </w:pP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6D5DB6ED">
            <w:pPr>
              <w:widowControl/>
              <w:jc w:val="center"/>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第十四条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6B595CC9">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各级中小企业主管部门不得将审核认定相关工作委托第三方中介机构承担,应联合相关部门严格防范不良中介机构影响。</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13BD452E">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增加一条，与工信部《办法》保持一致。</w:t>
            </w:r>
          </w:p>
        </w:tc>
      </w:tr>
      <w:tr w14:paraId="2A74C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746EBE9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第十二条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54866333">
            <w:pPr>
              <w:keepNext w:val="0"/>
              <w:keepLines w:val="0"/>
              <w:pageBreakBefore w:val="0"/>
              <w:widowControl/>
              <w:tabs>
                <w:tab w:val="left" w:pos="667"/>
              </w:tabs>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rPr>
              <w:t>创新型中小企业评价和专精特新中小企业认定，原则上每年开展不少于一次；专精特新“小巨人”企业推荐，按照工业和信息化部通知执行。</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5A669DA7">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第十</w:t>
            </w:r>
            <w:r>
              <w:rPr>
                <w:rFonts w:hint="eastAsia" w:ascii="仿宋_GB2312" w:hAnsi="仿宋_GB2312" w:eastAsia="仿宋_GB2312" w:cs="仿宋_GB2312"/>
                <w:b w:val="0"/>
                <w:bCs w:val="0"/>
                <w:strike w:val="0"/>
                <w:dstrike w:val="0"/>
                <w:sz w:val="21"/>
                <w:szCs w:val="21"/>
                <w:u w:val="none"/>
                <w:lang w:val="en-US" w:eastAsia="zh-CN"/>
              </w:rPr>
              <w:t>五</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7657039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专精特新中小企业认定原则上每年开展不少于一次；专精特新“小巨人”企业推荐，按照工业和信息化部通知执行。</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70FA53F5">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删除“创新型中小企业”，与工信部《办法》保持一致。</w:t>
            </w:r>
          </w:p>
        </w:tc>
      </w:tr>
      <w:tr w14:paraId="55667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1"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69167D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trike w:val="0"/>
                <w:dstrike w:val="0"/>
                <w:sz w:val="21"/>
                <w:szCs w:val="21"/>
                <w:u w:val="none"/>
                <w:lang w:eastAsia="zh-CN"/>
              </w:rPr>
            </w:pP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20C483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bCs/>
                <w:strike w:val="0"/>
                <w:dstrike w:val="0"/>
                <w:sz w:val="21"/>
                <w:szCs w:val="21"/>
                <w:u w:val="none"/>
                <w:lang w:eastAsia="zh-CN"/>
              </w:rPr>
              <w:t>第三章</w:t>
            </w:r>
            <w:r>
              <w:rPr>
                <w:rFonts w:hint="eastAsia" w:ascii="仿宋_GB2312" w:hAnsi="仿宋_GB2312" w:eastAsia="仿宋_GB2312" w:cs="仿宋_GB2312"/>
                <w:b/>
                <w:bCs/>
                <w:strike w:val="0"/>
                <w:dstrike w:val="0"/>
                <w:sz w:val="21"/>
                <w:szCs w:val="21"/>
                <w:u w:val="none"/>
                <w:lang w:val="en-US" w:eastAsia="zh-CN"/>
              </w:rPr>
              <w:t xml:space="preserve"> 动态管理</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3318921A">
            <w:pPr>
              <w:spacing w:line="240" w:lineRule="auto"/>
              <w:jc w:val="center"/>
              <w:rPr>
                <w:rFonts w:hint="eastAsia" w:ascii="仿宋_GB2312" w:hAnsi="仿宋_GB2312" w:eastAsia="仿宋_GB2312" w:cs="仿宋_GB2312"/>
                <w:b w:val="0"/>
                <w:bCs w:val="0"/>
                <w:strike w:val="0"/>
                <w:dstrike w:val="0"/>
                <w:color w:val="auto"/>
                <w:sz w:val="21"/>
                <w:szCs w:val="21"/>
                <w:u w:val="none"/>
                <w:lang w:val="en-US" w:eastAsia="zh-CN"/>
              </w:rPr>
            </w:pP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32C2E77D">
            <w:pPr>
              <w:spacing w:line="240" w:lineRule="auto"/>
              <w:jc w:val="center"/>
              <w:rPr>
                <w:rFonts w:hint="eastAsia" w:ascii="仿宋_GB2312" w:hAnsi="仿宋_GB2312" w:eastAsia="仿宋_GB2312" w:cs="仿宋_GB2312"/>
                <w:b w:val="0"/>
                <w:bCs w:val="0"/>
                <w:strike w:val="0"/>
                <w:dstrike w:val="0"/>
                <w:color w:val="auto"/>
                <w:sz w:val="21"/>
                <w:szCs w:val="21"/>
                <w:u w:val="none"/>
                <w:lang w:val="en-US" w:eastAsia="zh-CN"/>
              </w:rPr>
            </w:pPr>
            <w:r>
              <w:rPr>
                <w:rFonts w:hint="eastAsia" w:ascii="仿宋_GB2312" w:hAnsi="仿宋_GB2312" w:eastAsia="仿宋_GB2312" w:cs="仿宋_GB2312"/>
                <w:b/>
                <w:bCs/>
                <w:strike w:val="0"/>
                <w:dstrike w:val="0"/>
                <w:sz w:val="21"/>
                <w:szCs w:val="21"/>
                <w:u w:val="none"/>
                <w:lang w:eastAsia="zh-CN"/>
              </w:rPr>
              <w:t>第三章</w:t>
            </w:r>
            <w:r>
              <w:rPr>
                <w:rFonts w:hint="eastAsia" w:ascii="仿宋_GB2312" w:hAnsi="仿宋_GB2312" w:eastAsia="仿宋_GB2312" w:cs="仿宋_GB2312"/>
                <w:b/>
                <w:bCs/>
                <w:strike w:val="0"/>
                <w:dstrike w:val="0"/>
                <w:sz w:val="21"/>
                <w:szCs w:val="21"/>
                <w:u w:val="none"/>
                <w:lang w:val="en-US" w:eastAsia="zh-CN"/>
              </w:rPr>
              <w:t xml:space="preserve"> 动态管理</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676FE941">
            <w:pPr>
              <w:spacing w:line="240" w:lineRule="auto"/>
              <w:jc w:val="both"/>
              <w:rPr>
                <w:rFonts w:hint="eastAsia" w:ascii="仿宋_GB2312" w:hAnsi="仿宋_GB2312" w:eastAsia="仿宋_GB2312" w:cs="仿宋_GB2312"/>
                <w:b w:val="0"/>
                <w:bCs w:val="0"/>
                <w:strike w:val="0"/>
                <w:dstrike w:val="0"/>
                <w:color w:val="auto"/>
                <w:sz w:val="21"/>
                <w:szCs w:val="21"/>
                <w:u w:val="none"/>
                <w:lang w:val="en-US" w:eastAsia="zh-CN"/>
              </w:rPr>
            </w:pPr>
          </w:p>
        </w:tc>
      </w:tr>
      <w:tr w14:paraId="00288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10"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4947004D">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b w:val="0"/>
                <w:bCs w:val="0"/>
                <w:strike w:val="0"/>
                <w:dstrike w:val="0"/>
                <w:sz w:val="21"/>
                <w:szCs w:val="21"/>
                <w:u w:val="none"/>
                <w:lang w:eastAsia="zh-CN"/>
              </w:rPr>
            </w:pP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0AB969A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b w:val="0"/>
                <w:bCs w:val="0"/>
                <w:strike w:val="0"/>
                <w:dstrike w:val="0"/>
                <w:sz w:val="21"/>
                <w:szCs w:val="21"/>
                <w:u w:val="none"/>
                <w:lang w:val="en-US" w:eastAsia="zh-CN"/>
              </w:rPr>
            </w:pP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0A9B9003">
            <w:pPr>
              <w:spacing w:line="240" w:lineRule="auto"/>
              <w:jc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第十六条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131C1C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省级中小企业主管部门应会同相关部门强化对优质中小企业的运行监测，挖掘利用好金融、信用、司法等各类数据信息，建立健全有进有出的动态管理机制，持续提高优质中小企业发展质量。</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32308065">
            <w:pPr>
              <w:spacing w:line="240" w:lineRule="auto"/>
              <w:jc w:val="both"/>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增加一条，与工信部《办法》保持一致。</w:t>
            </w:r>
          </w:p>
        </w:tc>
      </w:tr>
      <w:tr w14:paraId="3E0F6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6"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30A3C81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第十三条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3C1AD7B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b w:val="0"/>
                <w:bCs w:val="0"/>
                <w:strike w:val="0"/>
                <w:dstrike w:val="0"/>
                <w:sz w:val="20"/>
                <w:szCs w:val="20"/>
                <w:u w:val="none"/>
                <w:lang w:val="en-US" w:eastAsia="zh-CN"/>
              </w:rPr>
            </w:pPr>
            <w:r>
              <w:rPr>
                <w:rFonts w:hint="eastAsia" w:ascii="仿宋_GB2312" w:hAnsi="仿宋_GB2312" w:eastAsia="仿宋_GB2312" w:cs="仿宋_GB2312"/>
                <w:b w:val="0"/>
                <w:bCs w:val="0"/>
                <w:strike w:val="0"/>
                <w:dstrike w:val="0"/>
                <w:sz w:val="20"/>
                <w:szCs w:val="20"/>
                <w:u w:val="none"/>
                <w:lang w:val="en-US" w:eastAsia="zh-CN"/>
              </w:rPr>
              <w:t>创新型中小企业、专精特新中小企业有效期均为三年，复核通过的，有效期延长三年。为加强政策衔接，在复核期间，原名单继续有效；在复核名单发布后，原名单自动失效，以复核通过的名单内企业为准。</w:t>
            </w:r>
          </w:p>
          <w:p w14:paraId="5208B49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b w:val="0"/>
                <w:bCs w:val="0"/>
                <w:strike w:val="0"/>
                <w:dstrike w:val="0"/>
                <w:sz w:val="20"/>
                <w:szCs w:val="20"/>
                <w:u w:val="none"/>
                <w:lang w:val="en-US" w:eastAsia="zh-CN"/>
              </w:rPr>
            </w:pPr>
            <w:r>
              <w:rPr>
                <w:rFonts w:hint="eastAsia" w:ascii="仿宋_GB2312" w:hAnsi="仿宋_GB2312" w:eastAsia="仿宋_GB2312" w:cs="仿宋_GB2312"/>
                <w:b w:val="0"/>
                <w:bCs w:val="0"/>
                <w:strike w:val="0"/>
                <w:dstrike w:val="0"/>
                <w:sz w:val="20"/>
                <w:szCs w:val="20"/>
                <w:u w:val="none"/>
                <w:lang w:val="en-US" w:eastAsia="zh-CN"/>
              </w:rPr>
              <w:t>由外省迁入我省的创新型中小企业、专精特新中小企业，有效期内的继续有效，到期复核按本实施细则第九条、第十条执行。</w:t>
            </w:r>
          </w:p>
          <w:p w14:paraId="72B31DD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0"/>
                <w:szCs w:val="20"/>
                <w:u w:val="none"/>
                <w:lang w:val="en-US" w:eastAsia="zh-CN"/>
              </w:rPr>
              <w:t>省工业和信息化厅不定期对创新型中小企业、专精特新中小企业进行抽查。不符合评价或认定标准的，不予通过或直接取消公告或认定。</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5BB79C8C">
            <w:pPr>
              <w:spacing w:line="240" w:lineRule="auto"/>
              <w:jc w:val="center"/>
              <w:rPr>
                <w:rFonts w:hint="eastAsia" w:ascii="仿宋_GB2312" w:hAnsi="仿宋_GB2312" w:eastAsia="仿宋_GB2312" w:cs="仿宋_GB2312"/>
                <w:b w:val="0"/>
                <w:bCs w:val="0"/>
                <w:strike w:val="0"/>
                <w:dstrike w:val="0"/>
                <w:color w:val="auto"/>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第十</w:t>
            </w:r>
            <w:r>
              <w:rPr>
                <w:rFonts w:hint="eastAsia" w:ascii="仿宋_GB2312" w:hAnsi="仿宋_GB2312" w:eastAsia="仿宋_GB2312" w:cs="仿宋_GB2312"/>
                <w:b w:val="0"/>
                <w:bCs w:val="0"/>
                <w:strike w:val="0"/>
                <w:dstrike w:val="0"/>
                <w:sz w:val="21"/>
                <w:szCs w:val="21"/>
                <w:u w:val="none"/>
                <w:lang w:val="en-US" w:eastAsia="zh-CN"/>
              </w:rPr>
              <w:t>七</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5D29977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b w:val="0"/>
                <w:bCs w:val="0"/>
                <w:strike w:val="0"/>
                <w:dstrike w:val="0"/>
                <w:color w:val="auto"/>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经认定的专精特新中小企业有效期3年，到期复核按照本细则认定执行，复核通过的，有效期延长3年。为加强政策衔接，在复核期间，原名单继续有效；在复核名单发布后，原名单自动失效，以复核通过的名单内企业为准。</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40D1485A">
            <w:pPr>
              <w:spacing w:line="240" w:lineRule="auto"/>
              <w:jc w:val="both"/>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删除“创新型中小企业”，企业异地搬迁的情况合并到第二十条，与工信部《办法》保持一致。</w:t>
            </w:r>
          </w:p>
        </w:tc>
      </w:tr>
      <w:tr w14:paraId="74B6B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6AFBF044">
            <w:pPr>
              <w:spacing w:line="240" w:lineRule="auto"/>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第十四条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6D5B931B">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有效期内的创新型中小企业和专精特新中小企业，应在每年4月30日前通过培育平台更新企业信息。未及时更新企业信息的，取消复核资格。</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69E028E1">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第十</w:t>
            </w:r>
            <w:r>
              <w:rPr>
                <w:rFonts w:hint="eastAsia" w:ascii="仿宋_GB2312" w:hAnsi="仿宋_GB2312" w:eastAsia="仿宋_GB2312" w:cs="仿宋_GB2312"/>
                <w:b w:val="0"/>
                <w:bCs w:val="0"/>
                <w:strike w:val="0"/>
                <w:dstrike w:val="0"/>
                <w:sz w:val="21"/>
                <w:szCs w:val="21"/>
                <w:u w:val="none"/>
                <w:lang w:val="en-US" w:eastAsia="zh-CN"/>
              </w:rPr>
              <w:t>八</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31DB08B3">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有效期内的专精特新中小企业可登录培育平台查询认定状态和有效期，应在每年5月</w:t>
            </w:r>
            <w:r>
              <w:rPr>
                <w:rFonts w:hint="default" w:ascii="仿宋_GB2312" w:hAnsi="仿宋_GB2312" w:eastAsia="仿宋_GB2312" w:cs="仿宋_GB2312"/>
                <w:b w:val="0"/>
                <w:bCs w:val="0"/>
                <w:strike w:val="0"/>
                <w:dstrike w:val="0"/>
                <w:sz w:val="21"/>
                <w:szCs w:val="21"/>
                <w:u w:val="none"/>
                <w:lang w:val="en-US" w:eastAsia="zh-CN"/>
              </w:rPr>
              <w:t>3</w:t>
            </w:r>
            <w:r>
              <w:rPr>
                <w:rFonts w:hint="eastAsia" w:ascii="仿宋_GB2312" w:hAnsi="仿宋_GB2312" w:eastAsia="仿宋_GB2312" w:cs="仿宋_GB2312"/>
                <w:b w:val="0"/>
                <w:bCs w:val="0"/>
                <w:strike w:val="0"/>
                <w:dstrike w:val="0"/>
                <w:sz w:val="21"/>
                <w:szCs w:val="21"/>
                <w:u w:val="none"/>
                <w:lang w:val="en-US" w:eastAsia="zh-CN"/>
              </w:rPr>
              <w:t>1日前通过培育平台更新企业信息。在同一个有效期内，对首次未进行更新的企业，重点监测；对累计达两次未更新的企业，取消认定。</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2C673B29">
            <w:pPr>
              <w:widowControl/>
              <w:jc w:val="both"/>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修改企业更新信息截止时间，增加对未按期更新信息企业的处理方式，与工信部《办法》保持一致。</w:t>
            </w:r>
          </w:p>
        </w:tc>
      </w:tr>
      <w:tr w14:paraId="015F2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1F52077B">
            <w:pPr>
              <w:spacing w:line="240" w:lineRule="auto"/>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第十五条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28A0EFD7">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有效期内的创新型中小企业和专精特新中小企业，如发生更名、合并、重组、跨省迁移、设立境外分支机构等与评价认定条件有关的重大变化，应在发生变化后的3个月内登录培育平台，填写重大变化情况报告表。不再符合评价或认定标准的创新型中小企业和专精特新中小企业，由相应中小企业主管部门核实后取消公告或认定。对于未在3个月内报告重大变化情况的，取消复核资格，或直接取消公告或认定。</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1727D4F0">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第十</w:t>
            </w:r>
            <w:r>
              <w:rPr>
                <w:rFonts w:hint="eastAsia" w:ascii="仿宋_GB2312" w:hAnsi="仿宋_GB2312" w:eastAsia="仿宋_GB2312" w:cs="仿宋_GB2312"/>
                <w:b w:val="0"/>
                <w:bCs w:val="0"/>
                <w:strike w:val="0"/>
                <w:dstrike w:val="0"/>
                <w:sz w:val="21"/>
                <w:szCs w:val="21"/>
                <w:u w:val="none"/>
                <w:lang w:val="en-US" w:eastAsia="zh-CN"/>
              </w:rPr>
              <w:t>九</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2210175F">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有效期内的专精特新中小企业，如发生合并、重组等与认定条件有关的重大变化，应在发生变化后的</w:t>
            </w:r>
            <w:r>
              <w:rPr>
                <w:rFonts w:hint="default" w:ascii="仿宋_GB2312" w:hAnsi="仿宋_GB2312" w:eastAsia="仿宋_GB2312" w:cs="仿宋_GB2312"/>
                <w:b w:val="0"/>
                <w:bCs w:val="0"/>
                <w:strike w:val="0"/>
                <w:dstrike w:val="0"/>
                <w:sz w:val="21"/>
                <w:szCs w:val="21"/>
                <w:u w:val="none"/>
                <w:lang w:val="en-US" w:eastAsia="zh-CN"/>
              </w:rPr>
              <w:t>3</w:t>
            </w:r>
            <w:r>
              <w:rPr>
                <w:rFonts w:hint="eastAsia" w:ascii="仿宋_GB2312" w:hAnsi="仿宋_GB2312" w:eastAsia="仿宋_GB2312" w:cs="仿宋_GB2312"/>
                <w:b w:val="0"/>
                <w:bCs w:val="0"/>
                <w:strike w:val="0"/>
                <w:dstrike w:val="0"/>
                <w:sz w:val="21"/>
                <w:szCs w:val="21"/>
                <w:u w:val="none"/>
                <w:lang w:val="en-US" w:eastAsia="zh-CN"/>
              </w:rPr>
              <w:t>个月内登录培育平台，填写重大变化情况报告表。不再符合认定标准的专精特新中小企业，由相应中小企业主管部门核实后报省工业和信息化厅，由省工业和信息化厅取消认定。对于未报告重大变化情况的，取消复核资格，或取消认定。</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97EDB6A">
            <w:pPr>
              <w:widowControl/>
              <w:jc w:val="both"/>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删除“创新型中小企业”，完善有关表述，与工信部《办法》保持一致。</w:t>
            </w:r>
          </w:p>
        </w:tc>
      </w:tr>
      <w:tr w14:paraId="13A16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27C56A65">
            <w:pPr>
              <w:spacing w:line="240" w:lineRule="auto"/>
              <w:jc w:val="center"/>
              <w:rPr>
                <w:rFonts w:hint="eastAsia" w:ascii="仿宋_GB2312" w:hAnsi="仿宋_GB2312" w:eastAsia="仿宋_GB2312" w:cs="仿宋_GB2312"/>
                <w:b w:val="0"/>
                <w:bCs w:val="0"/>
                <w:strike w:val="0"/>
                <w:dstrike w:val="0"/>
                <w:sz w:val="21"/>
                <w:szCs w:val="21"/>
                <w:u w:val="none"/>
                <w:lang w:eastAsia="zh-CN"/>
              </w:rPr>
            </w:pP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761BA5EA">
            <w:pPr>
              <w:widowControl/>
              <w:jc w:val="both"/>
              <w:textAlignment w:val="center"/>
              <w:rPr>
                <w:rFonts w:hint="eastAsia" w:ascii="仿宋_GB2312" w:hAnsi="仿宋_GB2312" w:eastAsia="仿宋_GB2312" w:cs="仿宋_GB2312"/>
                <w:b w:val="0"/>
                <w:bCs w:val="0"/>
                <w:strike w:val="0"/>
                <w:dstrike w:val="0"/>
                <w:sz w:val="21"/>
                <w:szCs w:val="21"/>
                <w:u w:val="none"/>
                <w:lang w:eastAsia="zh-CN"/>
              </w:rPr>
            </w:pP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03093079">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二十</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A88FF58">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0"/>
                <w:szCs w:val="20"/>
                <w:u w:val="none"/>
                <w:lang w:val="en-US" w:eastAsia="zh-CN"/>
              </w:rPr>
              <w:t>有效期内的专精特新中小企业，如发生简单更名，应在3个月内在培育平台上同步完成名称变更申请。如发生跨区域迁移，应在3个月内在培育平台上提交跨区域迁移申请，并与迁入地中小企业主管部门联系。后续由迁入地中小企业主管部门负责培育管理，迁出地中小企业主管部门应做好配合。</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345C17A8">
            <w:pPr>
              <w:widowControl/>
              <w:jc w:val="both"/>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增加一条，明确专精特新中小企业简单更名和跨区域迁移管理，与工信部《办法》保持一致。</w:t>
            </w:r>
          </w:p>
        </w:tc>
      </w:tr>
      <w:tr w14:paraId="6A120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13C5035A">
            <w:pPr>
              <w:spacing w:line="240" w:lineRule="auto"/>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第十六条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0CC29610">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有效期内的创新型中小企业和专精特新中小企业，如发生重大及以上安全（含网络安全、数据安全）、质量、环境污染等事故，或严重失信、偷漏税等违法违规行为，或被发现存在数据造假等情形，直接取消公告或认定，且自违法违规行为发生之日三年内不得再次申报。</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35AC66CC">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二十一</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630FD66F">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0"/>
                <w:szCs w:val="20"/>
                <w:u w:val="none"/>
                <w:lang w:val="en-US" w:eastAsia="zh-CN"/>
              </w:rPr>
              <w:t>有效期内的专精特新中小企业，如发生较大生产安全事故、重大网络和数据安全事件、重大环境违法行为、严重质量问题、严重违反相关行业管理规定、被列入严重失信主体名单，或被发现存在数据造假情形，取消认定且三年内不得再次申报。对取消认定后完成信用修复并移出严重失信主体名单的企业，以及按照行业管理规定要求完成整改并获得相关行业管理部门认可的企业，可以三年内再次申报。</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6343A013">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删除“创新型中小企业”。增加完成信用修复并移出严重失信主体名单、整改获得相关行业管理部门认可的企业，可以三年内再次申报的规定，与工信部《办法》保持一致。</w:t>
            </w:r>
          </w:p>
        </w:tc>
      </w:tr>
      <w:tr w14:paraId="32EEB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0"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3CC24303">
            <w:pPr>
              <w:spacing w:line="240" w:lineRule="auto"/>
              <w:jc w:val="center"/>
              <w:rPr>
                <w:rFonts w:hint="eastAsia" w:ascii="仿宋_GB2312" w:hAnsi="仿宋_GB2312" w:eastAsia="仿宋_GB2312" w:cs="仿宋_GB2312"/>
                <w:b w:val="0"/>
                <w:bCs w:val="0"/>
                <w:strike w:val="0"/>
                <w:dstrike w:val="0"/>
                <w:sz w:val="21"/>
                <w:szCs w:val="21"/>
                <w:u w:val="none"/>
                <w:lang w:eastAsia="zh-CN"/>
              </w:rPr>
            </w:pP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0564DAFE">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7B139CBC">
            <w:pPr>
              <w:widowControl/>
              <w:jc w:val="center"/>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第二十二条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164F2017">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0"/>
                <w:szCs w:val="20"/>
                <w:u w:val="none"/>
                <w:lang w:val="en-US" w:eastAsia="zh-CN"/>
              </w:rPr>
              <w:t>各级中小企业主管部门应完善机制，加强对优质中小企业的风险监测与处置，涉及专精特新中小企业、专精特新“小巨人”企业的重大风险，应及时上报省工业和信息化厅、工业和信息化部。</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5AF90BFF">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增加一条，与工信部《办法》保持一致。</w:t>
            </w:r>
          </w:p>
        </w:tc>
      </w:tr>
      <w:tr w14:paraId="03B70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0"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3EA2DD5B">
            <w:pPr>
              <w:spacing w:line="240" w:lineRule="auto"/>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第十七条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75CA9493">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任何组织和个人可针对创新型中小企业和专精特新中小企业相关信息真实性、准确性等方面存在的问题，向相应中小企业主管部门实名举报，并提供佐证材料和联系方式。对受理的举报内容，相应中小企业主管部门应及时向被举报企业核实，被举报企业未按要求回复或经核实确认该企业存在弄虚作假行为的，视情节轻重要求企业进行整改，或直接取消公告或认定。</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644E9D43">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二十三</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4F7F59E7">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0"/>
                <w:szCs w:val="20"/>
                <w:u w:val="none"/>
                <w:lang w:val="en-US" w:eastAsia="zh-CN"/>
              </w:rPr>
              <w:t>任何组织和个人可针对优质中小企业相关信息真实性、准确性等方面存在的问题，向负责该企业认定的中小企业主管部门实名举报，并提供佐证材料和联系方式。对受理的举报内容，相应中小企业主管部门应及时向被举报企业核实。被举报企业未按要求回复或经核查举报内容属实的，视情节轻重要求企业整改，或取消认定。</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8D3A4CD">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完善有关表述，与工信部《办法》保持一致。</w:t>
            </w:r>
          </w:p>
        </w:tc>
      </w:tr>
      <w:tr w14:paraId="25BE8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14"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61593268">
            <w:pPr>
              <w:spacing w:line="240" w:lineRule="auto"/>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第十八条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0871E669">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专精特新“小巨人”企业的动态管理执行《暂行办法》的有关规定。</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2BA7C3E4">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二十四</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16DAD8B2">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专精特新“小巨人”企业的动态管理执行《办法》的有关规定。</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1A03F72B">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更新依据文件。</w:t>
            </w:r>
          </w:p>
        </w:tc>
      </w:tr>
      <w:tr w14:paraId="290AA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2"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7CFC221C">
            <w:pPr>
              <w:spacing w:line="240" w:lineRule="auto"/>
              <w:jc w:val="center"/>
              <w:rPr>
                <w:rFonts w:hint="eastAsia" w:ascii="仿宋_GB2312" w:hAnsi="仿宋_GB2312" w:eastAsia="仿宋_GB2312" w:cs="仿宋_GB2312"/>
                <w:b w:val="0"/>
                <w:bCs w:val="0"/>
                <w:strike w:val="0"/>
                <w:dstrike w:val="0"/>
                <w:sz w:val="21"/>
                <w:szCs w:val="21"/>
                <w:u w:val="none"/>
                <w:lang w:eastAsia="zh-CN"/>
              </w:rPr>
            </w:pP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0DA7266C">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bCs/>
                <w:strike w:val="0"/>
                <w:dstrike w:val="0"/>
                <w:sz w:val="21"/>
                <w:szCs w:val="21"/>
                <w:u w:val="none"/>
                <w:lang w:eastAsia="zh-CN"/>
              </w:rPr>
              <w:t>第四章</w:t>
            </w:r>
            <w:r>
              <w:rPr>
                <w:rFonts w:hint="eastAsia" w:ascii="仿宋_GB2312" w:hAnsi="仿宋_GB2312" w:eastAsia="仿宋_GB2312" w:cs="仿宋_GB2312"/>
                <w:b/>
                <w:bCs/>
                <w:strike w:val="0"/>
                <w:dstrike w:val="0"/>
                <w:sz w:val="21"/>
                <w:szCs w:val="21"/>
                <w:u w:val="none"/>
                <w:lang w:val="en-US" w:eastAsia="zh-CN"/>
              </w:rPr>
              <w:t xml:space="preserve"> 培育扶持</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5414EA26">
            <w:pPr>
              <w:widowControl/>
              <w:jc w:val="center"/>
              <w:textAlignment w:val="center"/>
              <w:rPr>
                <w:rFonts w:hint="eastAsia" w:ascii="仿宋_GB2312" w:hAnsi="仿宋_GB2312" w:eastAsia="仿宋_GB2312" w:cs="仿宋_GB2312"/>
                <w:b/>
                <w:bCs/>
                <w:strike w:val="0"/>
                <w:dstrike w:val="0"/>
                <w:sz w:val="21"/>
                <w:szCs w:val="21"/>
                <w:u w:val="none"/>
                <w:lang w:val="en-US" w:eastAsia="zh-CN"/>
              </w:rPr>
            </w:pP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6EF40D1B">
            <w:pPr>
              <w:widowControl/>
              <w:jc w:val="center"/>
              <w:textAlignment w:val="center"/>
              <w:rPr>
                <w:rFonts w:hint="eastAsia" w:ascii="仿宋_GB2312" w:hAnsi="仿宋_GB2312" w:eastAsia="仿宋_GB2312" w:cs="仿宋_GB2312"/>
                <w:b/>
                <w:bCs/>
                <w:strike w:val="0"/>
                <w:dstrike w:val="0"/>
                <w:sz w:val="21"/>
                <w:szCs w:val="21"/>
                <w:u w:val="none"/>
                <w:lang w:val="en-US" w:eastAsia="zh-CN"/>
              </w:rPr>
            </w:pPr>
            <w:r>
              <w:rPr>
                <w:rFonts w:hint="eastAsia" w:ascii="仿宋_GB2312" w:hAnsi="仿宋_GB2312" w:eastAsia="仿宋_GB2312" w:cs="仿宋_GB2312"/>
                <w:b/>
                <w:bCs/>
                <w:strike w:val="0"/>
                <w:dstrike w:val="0"/>
                <w:sz w:val="21"/>
                <w:szCs w:val="21"/>
                <w:u w:val="none"/>
                <w:lang w:val="en-US" w:eastAsia="zh-CN"/>
              </w:rPr>
              <w:t>第四章 培育服务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5A99CCB3">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p>
        </w:tc>
      </w:tr>
      <w:tr w14:paraId="0B839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17"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55B99557">
            <w:pPr>
              <w:spacing w:line="240" w:lineRule="auto"/>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第十九条</w:t>
            </w:r>
          </w:p>
        </w:tc>
        <w:tc>
          <w:tcPr>
            <w:tcW w:w="4121" w:type="dxa"/>
            <w:gridSpan w:val="3"/>
            <w:tcBorders>
              <w:top w:val="single" w:color="000000" w:sz="4" w:space="0"/>
              <w:left w:val="single" w:color="000000" w:sz="4" w:space="0"/>
              <w:bottom w:val="single" w:color="000000" w:sz="4" w:space="0"/>
              <w:right w:val="single" w:color="000000" w:sz="4" w:space="0"/>
            </w:tcBorders>
            <w:noWrap w:val="0"/>
            <w:vAlign w:val="center"/>
          </w:tcPr>
          <w:p w14:paraId="6D2CDD32">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积极争取和落实国家、省对专精特新企业的扶持政策。省制造业当家重点任务保障等专项资金对符合条件的专精特新企业项目予以支持。鼓励各地对专精特新企业给予资金支持。</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14:paraId="5AF5369A">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二十五</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4B36866B">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积极争取和落实国家、省对专精特新企业的扶持政策。省制造业当家重点任务保障等专项资金对符合条件的专精特新企业项目予以支持。鼓励各地对专精特新企业给予资金支持。</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56ED92F9">
            <w:pPr>
              <w:widowControl/>
              <w:jc w:val="both"/>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调整了条款序号，内容未作修改。</w:t>
            </w:r>
          </w:p>
        </w:tc>
      </w:tr>
      <w:tr w14:paraId="0E83E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00"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2EED3B99">
            <w:pPr>
              <w:spacing w:line="240" w:lineRule="auto"/>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第二十条</w:t>
            </w:r>
          </w:p>
        </w:tc>
        <w:tc>
          <w:tcPr>
            <w:tcW w:w="4114" w:type="dxa"/>
            <w:tcBorders>
              <w:top w:val="single" w:color="000000" w:sz="4" w:space="0"/>
              <w:left w:val="single" w:color="000000" w:sz="4" w:space="0"/>
              <w:bottom w:val="single" w:color="000000" w:sz="4" w:space="0"/>
              <w:right w:val="single" w:color="000000" w:sz="4" w:space="0"/>
            </w:tcBorders>
            <w:noWrap w:val="0"/>
            <w:vAlign w:val="center"/>
          </w:tcPr>
          <w:p w14:paraId="6CB3487E">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引导银行机构针对专精特新企业推出专属融资服务；通过中小企业信贷风险补偿资金促进优质中小企业融资；深化与境内三大证券交易所合作，开展专精特新企业股权融资对接专项行动。</w:t>
            </w:r>
          </w:p>
        </w:tc>
        <w:tc>
          <w:tcPr>
            <w:tcW w:w="1158" w:type="dxa"/>
            <w:gridSpan w:val="3"/>
            <w:tcBorders>
              <w:top w:val="single" w:color="000000" w:sz="4" w:space="0"/>
              <w:left w:val="single" w:color="000000" w:sz="4" w:space="0"/>
              <w:bottom w:val="single" w:color="000000" w:sz="4" w:space="0"/>
              <w:right w:val="single" w:color="000000" w:sz="4" w:space="0"/>
            </w:tcBorders>
            <w:noWrap w:val="0"/>
            <w:vAlign w:val="center"/>
          </w:tcPr>
          <w:p w14:paraId="301001B3">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二十六</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6DC02167">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引导银行机构针对专精特新企业推出专属融资服务；通过中小企业信贷风险补偿资金促进优质中小企业融资；深化与境内三大证券交易所合作，开展专精特新企业股权融资对接专项行动。</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4EB1E3F3">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调整了条款序号，内容未作修改。</w:t>
            </w:r>
          </w:p>
        </w:tc>
      </w:tr>
      <w:tr w14:paraId="46430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16"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0F66513A">
            <w:pPr>
              <w:spacing w:line="240" w:lineRule="auto"/>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第二十一条</w:t>
            </w:r>
          </w:p>
        </w:tc>
        <w:tc>
          <w:tcPr>
            <w:tcW w:w="4114" w:type="dxa"/>
            <w:tcBorders>
              <w:top w:val="single" w:color="000000" w:sz="4" w:space="0"/>
              <w:left w:val="single" w:color="000000" w:sz="4" w:space="0"/>
              <w:bottom w:val="single" w:color="000000" w:sz="4" w:space="0"/>
              <w:right w:val="single" w:color="000000" w:sz="4" w:space="0"/>
            </w:tcBorders>
            <w:noWrap w:val="0"/>
            <w:vAlign w:val="center"/>
          </w:tcPr>
          <w:p w14:paraId="5FF3E503">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对承担国家和省重大项目的专精特新企业，探索择优赋予急需紧缺高层次人才“揭榜挂帅”或自主举荐名额。建立多层次人才培训体系，实施“新粤商”培训工程，支持专精特新企业高层管理人员参加省内外高级研修班培训。推动企业加强人才队伍建设，大力支持优质中小企业集聚培育高水平产业人才。</w:t>
            </w:r>
          </w:p>
        </w:tc>
        <w:tc>
          <w:tcPr>
            <w:tcW w:w="1158" w:type="dxa"/>
            <w:gridSpan w:val="3"/>
            <w:tcBorders>
              <w:top w:val="single" w:color="000000" w:sz="4" w:space="0"/>
              <w:left w:val="single" w:color="000000" w:sz="4" w:space="0"/>
              <w:bottom w:val="single" w:color="000000" w:sz="4" w:space="0"/>
              <w:right w:val="single" w:color="000000" w:sz="4" w:space="0"/>
            </w:tcBorders>
            <w:noWrap w:val="0"/>
            <w:vAlign w:val="center"/>
          </w:tcPr>
          <w:p w14:paraId="045EB064">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二十七</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200EABF9">
            <w:pPr>
              <w:widowControl/>
              <w:jc w:val="left"/>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对承担国家和省重大项目的专精特新企业，探索择优赋予急需紧缺高层次人才“揭榜挂帅”或自主举荐名额。建立多层次人才培训体系，实施“新粤商”培训工程，支持专精特新企业高层管理人员参加省内外高级研修班培训。推动企业加强人才队伍建设，大力支持优质中小企业集聚培育高水平产业人才。</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6C8D648">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调整了条款序号，内容未作修改。</w:t>
            </w:r>
          </w:p>
        </w:tc>
      </w:tr>
      <w:tr w14:paraId="01B09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140CF68C">
            <w:pPr>
              <w:spacing w:line="240" w:lineRule="auto"/>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第二十二条</w:t>
            </w:r>
          </w:p>
        </w:tc>
        <w:tc>
          <w:tcPr>
            <w:tcW w:w="4114" w:type="dxa"/>
            <w:tcBorders>
              <w:top w:val="single" w:color="000000" w:sz="4" w:space="0"/>
              <w:left w:val="single" w:color="000000" w:sz="4" w:space="0"/>
              <w:bottom w:val="single" w:color="000000" w:sz="4" w:space="0"/>
              <w:right w:val="single" w:color="000000" w:sz="4" w:space="0"/>
            </w:tcBorders>
            <w:noWrap w:val="0"/>
            <w:vAlign w:val="center"/>
          </w:tcPr>
          <w:p w14:paraId="4846ECD0">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开展“专精特新万企行”、“一起益企”中小企业服务行动和中小企业服务月活动。优化“粤企政策通”平台建设，开展涉企政策精准推送。加强中小企业特色产业集群、中小企业公共服务示范平台、创业创新示范基地建设，组织“创客广东”大赛，支持参与梯度培育，支持优质中小企业拓展国内外市场。</w:t>
            </w:r>
          </w:p>
        </w:tc>
        <w:tc>
          <w:tcPr>
            <w:tcW w:w="1158" w:type="dxa"/>
            <w:gridSpan w:val="3"/>
            <w:tcBorders>
              <w:top w:val="single" w:color="000000" w:sz="4" w:space="0"/>
              <w:left w:val="single" w:color="000000" w:sz="4" w:space="0"/>
              <w:bottom w:val="single" w:color="000000" w:sz="4" w:space="0"/>
              <w:right w:val="single" w:color="000000" w:sz="4" w:space="0"/>
            </w:tcBorders>
            <w:noWrap w:val="0"/>
            <w:vAlign w:val="center"/>
          </w:tcPr>
          <w:p w14:paraId="0F8AAF2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strike w:val="0"/>
                <w:dstrike w:val="0"/>
                <w:color w:val="auto"/>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二十八</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2D1EF097">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strike w:val="0"/>
                <w:dstrike w:val="0"/>
                <w:color w:val="auto"/>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开展“专精特新万企行”、“一起益企”中小企业服务行动和中小企业服务月活动。优化“粤企政策通”平台建设，开展涉企政策精准推送。发挥国家中小企业公共服务示范平台（基地）、中小企业特色产业集群、科技型企业孵化器、校企协同育人基地等平台载体作用，组织</w:t>
            </w:r>
            <w:r>
              <w:rPr>
                <w:rFonts w:hint="default" w:ascii="仿宋_GB2312" w:hAnsi="仿宋_GB2312" w:eastAsia="仿宋_GB2312" w:cs="仿宋_GB2312"/>
                <w:b w:val="0"/>
                <w:bCs w:val="0"/>
                <w:strike w:val="0"/>
                <w:dstrike w:val="0"/>
                <w:sz w:val="21"/>
                <w:szCs w:val="21"/>
                <w:u w:val="none"/>
                <w:lang w:val="en-US" w:eastAsia="zh-CN"/>
              </w:rPr>
              <w:t>“越来越好”</w:t>
            </w:r>
            <w:r>
              <w:rPr>
                <w:rFonts w:hint="eastAsia" w:ascii="仿宋_GB2312" w:hAnsi="仿宋_GB2312" w:eastAsia="仿宋_GB2312" w:cs="仿宋_GB2312"/>
                <w:b w:val="0"/>
                <w:bCs w:val="0"/>
                <w:strike w:val="0"/>
                <w:dstrike w:val="0"/>
                <w:sz w:val="21"/>
                <w:szCs w:val="21"/>
                <w:u w:val="none"/>
                <w:lang w:val="en-US" w:eastAsia="zh-CN"/>
              </w:rPr>
              <w:t>“创客广东”大赛，支持参与梯度培育，支持优质中小企业拓展国内外市场。</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87FAACE">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default" w:ascii="仿宋_GB2312" w:hAnsi="仿宋_GB2312" w:eastAsia="仿宋_GB2312" w:cs="仿宋_GB2312"/>
                <w:b w:val="0"/>
                <w:bCs w:val="0"/>
                <w:strike w:val="0"/>
                <w:dstrike w:val="0"/>
                <w:color w:val="auto"/>
                <w:sz w:val="21"/>
                <w:szCs w:val="21"/>
                <w:u w:val="none"/>
                <w:lang w:val="en-US" w:eastAsia="zh-CN"/>
              </w:rPr>
            </w:pPr>
            <w:r>
              <w:rPr>
                <w:rFonts w:hint="eastAsia" w:ascii="仿宋_GB2312" w:hAnsi="仿宋_GB2312" w:eastAsia="仿宋_GB2312" w:cs="仿宋_GB2312"/>
                <w:b w:val="0"/>
                <w:bCs w:val="0"/>
                <w:strike w:val="0"/>
                <w:dstrike w:val="0"/>
                <w:color w:val="auto"/>
                <w:sz w:val="21"/>
                <w:szCs w:val="21"/>
                <w:u w:val="none"/>
                <w:lang w:val="en-US" w:eastAsia="zh-CN"/>
              </w:rPr>
              <w:t>“</w:t>
            </w:r>
            <w:r>
              <w:rPr>
                <w:rFonts w:hint="eastAsia" w:ascii="仿宋_GB2312" w:hAnsi="仿宋_GB2312" w:eastAsia="仿宋_GB2312" w:cs="仿宋_GB2312"/>
                <w:b w:val="0"/>
                <w:bCs w:val="0"/>
                <w:strike w:val="0"/>
                <w:dstrike w:val="0"/>
                <w:sz w:val="21"/>
                <w:szCs w:val="21"/>
                <w:u w:val="none"/>
                <w:lang w:val="en-US" w:eastAsia="zh-CN"/>
              </w:rPr>
              <w:t>加强中小企业特色产业集群、中小企业公共服务示范平台、创业创新示范基地建设</w:t>
            </w:r>
            <w:r>
              <w:rPr>
                <w:rFonts w:hint="eastAsia" w:ascii="仿宋_GB2312" w:hAnsi="仿宋_GB2312" w:eastAsia="仿宋_GB2312" w:cs="仿宋_GB2312"/>
                <w:b w:val="0"/>
                <w:bCs w:val="0"/>
                <w:strike w:val="0"/>
                <w:dstrike w:val="0"/>
                <w:color w:val="auto"/>
                <w:sz w:val="21"/>
                <w:szCs w:val="21"/>
                <w:u w:val="none"/>
                <w:lang w:val="en-US" w:eastAsia="zh-CN"/>
              </w:rPr>
              <w:t>”改为“发挥国家中小企业公共服务示范平台（基地）、中小企业特色产业集群、科技型企业孵化器、校企协同育人基地等平台载体作用”，与工信部</w:t>
            </w:r>
            <w:r>
              <w:rPr>
                <w:rFonts w:hint="eastAsia" w:ascii="仿宋_GB2312" w:hAnsi="仿宋_GB2312" w:eastAsia="仿宋_GB2312" w:cs="仿宋_GB2312"/>
                <w:b w:val="0"/>
                <w:bCs w:val="0"/>
                <w:strike w:val="0"/>
                <w:dstrike w:val="0"/>
                <w:sz w:val="21"/>
                <w:szCs w:val="21"/>
                <w:u w:val="none"/>
                <w:lang w:val="en-US" w:eastAsia="zh-CN"/>
              </w:rPr>
              <w:t>《办法》保持一致。</w:t>
            </w:r>
          </w:p>
        </w:tc>
      </w:tr>
      <w:tr w14:paraId="3B7F3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22A6AD5B">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第二十三条</w:t>
            </w:r>
          </w:p>
        </w:tc>
        <w:tc>
          <w:tcPr>
            <w:tcW w:w="4114" w:type="dxa"/>
            <w:tcBorders>
              <w:top w:val="single" w:color="000000" w:sz="4" w:space="0"/>
              <w:left w:val="single" w:color="000000" w:sz="4" w:space="0"/>
              <w:bottom w:val="single" w:color="000000" w:sz="4" w:space="0"/>
              <w:right w:val="single" w:color="000000" w:sz="4" w:space="0"/>
            </w:tcBorders>
            <w:noWrap w:val="0"/>
            <w:vAlign w:val="center"/>
          </w:tcPr>
          <w:p w14:paraId="21FB3EE4">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鼓励大型企业将优质中小企业纳入产业链、供应链体系，开放产业集群图谱，开展“大手拉小手”活动；开展“携手行动”促进大中小企业融通创新；推进优质中小企业上云上平台等专项行动，支持优质中小企业数字化转型。</w:t>
            </w:r>
          </w:p>
        </w:tc>
        <w:tc>
          <w:tcPr>
            <w:tcW w:w="1158" w:type="dxa"/>
            <w:gridSpan w:val="3"/>
            <w:tcBorders>
              <w:top w:val="single" w:color="000000" w:sz="4" w:space="0"/>
              <w:left w:val="single" w:color="000000" w:sz="4" w:space="0"/>
              <w:bottom w:val="single" w:color="000000" w:sz="4" w:space="0"/>
              <w:right w:val="single" w:color="000000" w:sz="4" w:space="0"/>
            </w:tcBorders>
            <w:noWrap w:val="0"/>
            <w:vAlign w:val="center"/>
          </w:tcPr>
          <w:p w14:paraId="2578FCB0">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二十九</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3965F7D7">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鼓励大型企业将优质中小企业纳入产业链、供应链体系，开放产业集群图谱，开展“大手拉小手”活动；开展“携手行动”促进大中小企业融通创新；推进优质中小企业上云上平台等专项行动，支持优质中小企业数字化转型。</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69E0E1D5">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调整了条款序号，内容未作修改。</w:t>
            </w:r>
          </w:p>
        </w:tc>
      </w:tr>
      <w:tr w14:paraId="2DDEA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31"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4490470A">
            <w:pPr>
              <w:spacing w:line="240" w:lineRule="auto"/>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第二十四条</w:t>
            </w:r>
          </w:p>
        </w:tc>
        <w:tc>
          <w:tcPr>
            <w:tcW w:w="4119" w:type="dxa"/>
            <w:gridSpan w:val="2"/>
            <w:tcBorders>
              <w:top w:val="single" w:color="000000" w:sz="4" w:space="0"/>
              <w:left w:val="single" w:color="000000" w:sz="4" w:space="0"/>
              <w:bottom w:val="single" w:color="000000" w:sz="4" w:space="0"/>
              <w:right w:val="single" w:color="000000" w:sz="4" w:space="0"/>
            </w:tcBorders>
            <w:noWrap w:val="0"/>
            <w:vAlign w:val="center"/>
          </w:tcPr>
          <w:p w14:paraId="056C30C9">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发挥省（市）促进中小企业（民营经济）发展工作领导小组作用，形成部门、上下联动和政策协同，建立完善中小企业运行分析体系，不断优化政策体系、服务体系和发展环境，持续支持中小企业专精特新发展。</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3447A1BC">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三十</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30605639">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认真贯彻落实建设全国统一大市场和规范招商引资行为有关政策要求，形成部门、上下联动和政策协同，建立完善中小企业运行分析体系，不断优化政策体系、服务体系和发展环境，持续支持中小企业专精特新发展。</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433D7BB8">
            <w:pPr>
              <w:widowControl/>
              <w:jc w:val="both"/>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增加“认真贯彻落实建设全国统一大市场和规范招商引资行为有关政策要求”，与工信部《办法》保持一致。</w:t>
            </w:r>
          </w:p>
        </w:tc>
      </w:tr>
      <w:tr w14:paraId="277E9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31"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43D0A1DF">
            <w:pPr>
              <w:spacing w:line="240" w:lineRule="auto"/>
              <w:jc w:val="center"/>
              <w:rPr>
                <w:rFonts w:hint="eastAsia" w:ascii="仿宋_GB2312" w:hAnsi="仿宋_GB2312" w:eastAsia="仿宋_GB2312" w:cs="仿宋_GB2312"/>
                <w:b w:val="0"/>
                <w:bCs w:val="0"/>
                <w:strike w:val="0"/>
                <w:dstrike w:val="0"/>
                <w:sz w:val="21"/>
                <w:szCs w:val="21"/>
                <w:u w:val="none"/>
                <w:lang w:eastAsia="zh-CN"/>
              </w:rPr>
            </w:pPr>
          </w:p>
        </w:tc>
        <w:tc>
          <w:tcPr>
            <w:tcW w:w="4119" w:type="dxa"/>
            <w:gridSpan w:val="2"/>
            <w:tcBorders>
              <w:top w:val="single" w:color="000000" w:sz="4" w:space="0"/>
              <w:left w:val="single" w:color="000000" w:sz="4" w:space="0"/>
              <w:bottom w:val="single" w:color="000000" w:sz="4" w:space="0"/>
              <w:right w:val="single" w:color="000000" w:sz="4" w:space="0"/>
            </w:tcBorders>
            <w:noWrap w:val="0"/>
            <w:vAlign w:val="center"/>
          </w:tcPr>
          <w:p w14:paraId="7BD1C707">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3B045AE5">
            <w:pPr>
              <w:widowControl/>
              <w:jc w:val="center"/>
              <w:textAlignment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w:t>
            </w:r>
            <w:r>
              <w:rPr>
                <w:rFonts w:hint="eastAsia" w:ascii="仿宋_GB2312" w:hAnsi="仿宋_GB2312" w:eastAsia="仿宋_GB2312" w:cs="仿宋_GB2312"/>
                <w:b w:val="0"/>
                <w:bCs w:val="0"/>
                <w:strike w:val="0"/>
                <w:dstrike w:val="0"/>
                <w:sz w:val="21"/>
                <w:szCs w:val="21"/>
                <w:u w:val="none"/>
                <w:lang w:val="en-US" w:eastAsia="zh-CN"/>
              </w:rPr>
              <w:t>三十一</w:t>
            </w:r>
            <w:r>
              <w:rPr>
                <w:rFonts w:hint="eastAsia" w:ascii="仿宋_GB2312" w:hAnsi="仿宋_GB2312" w:eastAsia="仿宋_GB2312" w:cs="仿宋_GB2312"/>
                <w:b w:val="0"/>
                <w:bCs w:val="0"/>
                <w:strike w:val="0"/>
                <w:dstrike w:val="0"/>
                <w:sz w:val="21"/>
                <w:szCs w:val="21"/>
                <w:u w:val="none"/>
                <w:lang w:eastAsia="zh-CN"/>
              </w:rPr>
              <w:t>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52D3F8D1">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在企业认定和培育服务过程中，各级中小企业主管部门及相关工作人员应当保护企业商业秘密。</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195BF67">
            <w:pPr>
              <w:widowControl/>
              <w:jc w:val="both"/>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增加一条，与工信部《办法》保持一致。</w:t>
            </w:r>
          </w:p>
        </w:tc>
      </w:tr>
      <w:tr w14:paraId="77D6B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6"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5B0A1625">
            <w:pPr>
              <w:spacing w:line="240" w:lineRule="auto"/>
              <w:jc w:val="center"/>
              <w:rPr>
                <w:rFonts w:hint="eastAsia" w:ascii="仿宋_GB2312" w:hAnsi="仿宋_GB2312" w:eastAsia="仿宋_GB2312" w:cs="仿宋_GB2312"/>
                <w:b w:val="0"/>
                <w:bCs w:val="0"/>
                <w:strike w:val="0"/>
                <w:dstrike w:val="0"/>
                <w:sz w:val="21"/>
                <w:szCs w:val="21"/>
                <w:u w:val="none"/>
                <w:lang w:eastAsia="zh-CN"/>
              </w:rPr>
            </w:pPr>
          </w:p>
        </w:tc>
        <w:tc>
          <w:tcPr>
            <w:tcW w:w="4119" w:type="dxa"/>
            <w:gridSpan w:val="2"/>
            <w:tcBorders>
              <w:top w:val="single" w:color="000000" w:sz="4" w:space="0"/>
              <w:left w:val="single" w:color="000000" w:sz="4" w:space="0"/>
              <w:bottom w:val="single" w:color="000000" w:sz="4" w:space="0"/>
              <w:right w:val="single" w:color="000000" w:sz="4" w:space="0"/>
            </w:tcBorders>
            <w:noWrap w:val="0"/>
            <w:vAlign w:val="center"/>
          </w:tcPr>
          <w:p w14:paraId="530698C0">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bCs/>
                <w:strike w:val="0"/>
                <w:dstrike w:val="0"/>
                <w:sz w:val="21"/>
                <w:szCs w:val="21"/>
                <w:u w:val="none"/>
                <w:lang w:eastAsia="zh-CN"/>
              </w:rPr>
              <w:t>第五章</w:t>
            </w:r>
            <w:r>
              <w:rPr>
                <w:rFonts w:hint="eastAsia" w:ascii="仿宋_GB2312" w:hAnsi="仿宋_GB2312" w:eastAsia="仿宋_GB2312" w:cs="仿宋_GB2312"/>
                <w:b/>
                <w:bCs/>
                <w:strike w:val="0"/>
                <w:dstrike w:val="0"/>
                <w:sz w:val="21"/>
                <w:szCs w:val="21"/>
                <w:u w:val="none"/>
                <w:lang w:val="en-US" w:eastAsia="zh-CN"/>
              </w:rPr>
              <w:t xml:space="preserve"> 附则</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60D1A490">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33E3C45A">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bCs/>
                <w:strike w:val="0"/>
                <w:dstrike w:val="0"/>
                <w:sz w:val="21"/>
                <w:szCs w:val="21"/>
                <w:u w:val="none"/>
                <w:lang w:eastAsia="zh-CN"/>
              </w:rPr>
              <w:t>第五章</w:t>
            </w:r>
            <w:r>
              <w:rPr>
                <w:rFonts w:hint="eastAsia" w:ascii="仿宋_GB2312" w:hAnsi="仿宋_GB2312" w:eastAsia="仿宋_GB2312" w:cs="仿宋_GB2312"/>
                <w:b/>
                <w:bCs/>
                <w:strike w:val="0"/>
                <w:dstrike w:val="0"/>
                <w:sz w:val="21"/>
                <w:szCs w:val="21"/>
                <w:u w:val="none"/>
                <w:lang w:val="en-US" w:eastAsia="zh-CN"/>
              </w:rPr>
              <w:t xml:space="preserve"> 附则</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54CC9BC9">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p>
        </w:tc>
      </w:tr>
      <w:tr w14:paraId="4ED5A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9"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4A618B87">
            <w:pPr>
              <w:spacing w:line="240" w:lineRule="auto"/>
              <w:jc w:val="center"/>
              <w:rPr>
                <w:rFonts w:hint="eastAsia" w:ascii="仿宋_GB2312" w:hAnsi="仿宋_GB2312" w:eastAsia="仿宋_GB2312" w:cs="仿宋_GB2312"/>
                <w:b w:val="0"/>
                <w:bCs w:val="0"/>
                <w:strike w:val="0"/>
                <w:dstrike w:val="0"/>
                <w:sz w:val="21"/>
                <w:szCs w:val="21"/>
                <w:u w:val="none"/>
                <w:lang w:eastAsia="zh-CN"/>
              </w:rPr>
            </w:pPr>
          </w:p>
        </w:tc>
        <w:tc>
          <w:tcPr>
            <w:tcW w:w="4119" w:type="dxa"/>
            <w:gridSpan w:val="2"/>
            <w:tcBorders>
              <w:top w:val="single" w:color="000000" w:sz="4" w:space="0"/>
              <w:left w:val="single" w:color="000000" w:sz="4" w:space="0"/>
              <w:bottom w:val="single" w:color="000000" w:sz="4" w:space="0"/>
              <w:right w:val="single" w:color="000000" w:sz="4" w:space="0"/>
            </w:tcBorders>
            <w:noWrap w:val="0"/>
            <w:vAlign w:val="center"/>
          </w:tcPr>
          <w:p w14:paraId="3AE2D04E">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5493113F">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第三十二条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762CF613">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与优质中小企业产生投融资、并购重组、交易合作等相关市场行为，由相关主体自主决策、自行负责。</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73FA135">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增加一条，与工信部《办法》保持一致。</w:t>
            </w:r>
          </w:p>
        </w:tc>
      </w:tr>
      <w:tr w14:paraId="6B69A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9"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7C35AC2B">
            <w:pPr>
              <w:spacing w:line="240" w:lineRule="auto"/>
              <w:jc w:val="center"/>
              <w:rPr>
                <w:rFonts w:hint="eastAsia" w:ascii="仿宋_GB2312" w:hAnsi="仿宋_GB2312" w:eastAsia="仿宋_GB2312" w:cs="仿宋_GB2312"/>
                <w:b w:val="0"/>
                <w:bCs w:val="0"/>
                <w:strike w:val="0"/>
                <w:dstrike w:val="0"/>
                <w:sz w:val="21"/>
                <w:szCs w:val="21"/>
                <w:u w:val="none"/>
                <w:lang w:eastAsia="zh-CN"/>
              </w:rPr>
            </w:pPr>
          </w:p>
        </w:tc>
        <w:tc>
          <w:tcPr>
            <w:tcW w:w="4119" w:type="dxa"/>
            <w:gridSpan w:val="2"/>
            <w:tcBorders>
              <w:top w:val="single" w:color="000000" w:sz="4" w:space="0"/>
              <w:left w:val="single" w:color="000000" w:sz="4" w:space="0"/>
              <w:bottom w:val="single" w:color="000000" w:sz="4" w:space="0"/>
              <w:right w:val="single" w:color="000000" w:sz="4" w:space="0"/>
            </w:tcBorders>
            <w:noWrap w:val="0"/>
            <w:vAlign w:val="center"/>
          </w:tcPr>
          <w:p w14:paraId="457BC5C9">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6B8A1A5C">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第三十三条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2F88EC64">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科技和创新型中小企业有关要求和标准，以工业和信息化部联合有关部门制定发布的文件为准。在相关文件发布前，科技和创新型中小企业涵盖有效期内的科技型中小企业和创新型中小企业，创新型中小企业相关工作继续按照原有标准、工作程序和职责分工开展。</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58786BC4">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增加一条，与工信部《办法》保持一致。</w:t>
            </w:r>
          </w:p>
        </w:tc>
      </w:tr>
      <w:tr w14:paraId="46EFC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9"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460B0882">
            <w:pPr>
              <w:spacing w:line="240" w:lineRule="auto"/>
              <w:jc w:val="center"/>
              <w:rPr>
                <w:rFonts w:hint="eastAsia" w:ascii="仿宋_GB2312" w:hAnsi="仿宋_GB2312" w:eastAsia="仿宋_GB2312" w:cs="仿宋_GB2312"/>
                <w:b w:val="0"/>
                <w:bCs w:val="0"/>
                <w:strike w:val="0"/>
                <w:dstrike w:val="0"/>
                <w:kern w:val="2"/>
                <w:sz w:val="21"/>
                <w:szCs w:val="21"/>
                <w:u w:val="none"/>
                <w:lang w:val="en-US" w:eastAsia="zh-CN" w:bidi="ar-SA"/>
              </w:rPr>
            </w:pPr>
            <w:r>
              <w:rPr>
                <w:rFonts w:hint="eastAsia" w:ascii="仿宋_GB2312" w:hAnsi="仿宋_GB2312" w:eastAsia="仿宋_GB2312" w:cs="仿宋_GB2312"/>
                <w:b w:val="0"/>
                <w:bCs w:val="0"/>
                <w:strike w:val="0"/>
                <w:dstrike w:val="0"/>
                <w:sz w:val="21"/>
                <w:szCs w:val="21"/>
                <w:u w:val="none"/>
                <w:lang w:eastAsia="zh-CN"/>
              </w:rPr>
              <w:t>第二十六条</w:t>
            </w:r>
          </w:p>
        </w:tc>
        <w:tc>
          <w:tcPr>
            <w:tcW w:w="4119" w:type="dxa"/>
            <w:gridSpan w:val="2"/>
            <w:tcBorders>
              <w:top w:val="single" w:color="000000" w:sz="4" w:space="0"/>
              <w:left w:val="single" w:color="000000" w:sz="4" w:space="0"/>
              <w:bottom w:val="single" w:color="000000" w:sz="4" w:space="0"/>
              <w:right w:val="single" w:color="000000" w:sz="4" w:space="0"/>
            </w:tcBorders>
            <w:noWrap w:val="0"/>
            <w:vAlign w:val="center"/>
          </w:tcPr>
          <w:p w14:paraId="67A7A04B">
            <w:pPr>
              <w:widowControl/>
              <w:jc w:val="both"/>
              <w:textAlignment w:val="center"/>
              <w:rPr>
                <w:rFonts w:hint="eastAsia" w:ascii="仿宋_GB2312" w:hAnsi="仿宋_GB2312" w:eastAsia="仿宋_GB2312" w:cs="仿宋_GB2312"/>
                <w:b w:val="0"/>
                <w:bCs w:val="0"/>
                <w:strike w:val="0"/>
                <w:dstrike w:val="0"/>
                <w:kern w:val="2"/>
                <w:sz w:val="21"/>
                <w:szCs w:val="21"/>
                <w:u w:val="none"/>
                <w:lang w:val="en-US" w:eastAsia="zh-CN" w:bidi="ar-SA"/>
              </w:rPr>
            </w:pPr>
            <w:r>
              <w:rPr>
                <w:rFonts w:hint="eastAsia" w:ascii="仿宋_GB2312" w:hAnsi="仿宋_GB2312" w:eastAsia="仿宋_GB2312" w:cs="仿宋_GB2312"/>
                <w:b w:val="0"/>
                <w:bCs w:val="0"/>
                <w:strike w:val="0"/>
                <w:dstrike w:val="0"/>
                <w:sz w:val="21"/>
                <w:szCs w:val="21"/>
                <w:u w:val="none"/>
                <w:lang w:val="en-US" w:eastAsia="zh-CN"/>
              </w:rPr>
              <w:t>本细则自2024年8月20日起实施，有效期5年。《广东省优质中小企业梯度培育管理实施细则（试行）》（粤工信规字〔2022〕3号）同时废止。</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788F52FA">
            <w:pPr>
              <w:widowControl/>
              <w:jc w:val="center"/>
              <w:textAlignment w:val="center"/>
              <w:rPr>
                <w:rFonts w:hint="eastAsia" w:ascii="仿宋_GB2312" w:hAnsi="仿宋_GB2312" w:eastAsia="仿宋_GB2312" w:cs="仿宋_GB2312"/>
                <w:b w:val="0"/>
                <w:bCs w:val="0"/>
                <w:strike w:val="0"/>
                <w:dstrike w:val="0"/>
                <w:kern w:val="2"/>
                <w:sz w:val="21"/>
                <w:szCs w:val="21"/>
                <w:u w:val="none"/>
                <w:lang w:val="en-US" w:eastAsia="zh-CN" w:bidi="ar-SA"/>
              </w:rPr>
            </w:pPr>
            <w:r>
              <w:rPr>
                <w:rFonts w:hint="eastAsia" w:ascii="仿宋_GB2312" w:hAnsi="仿宋_GB2312" w:eastAsia="仿宋_GB2312" w:cs="仿宋_GB2312"/>
                <w:b w:val="0"/>
                <w:bCs w:val="0"/>
                <w:strike w:val="0"/>
                <w:dstrike w:val="0"/>
                <w:sz w:val="21"/>
                <w:szCs w:val="21"/>
                <w:u w:val="none"/>
                <w:lang w:val="en-US" w:eastAsia="zh-CN"/>
              </w:rPr>
              <w:t>第三十四条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2EEFA572">
            <w:pPr>
              <w:widowControl/>
              <w:jc w:val="both"/>
              <w:textAlignment w:val="center"/>
              <w:rPr>
                <w:rFonts w:hint="eastAsia" w:ascii="仿宋_GB2312" w:hAnsi="仿宋_GB2312" w:eastAsia="仿宋_GB2312" w:cs="仿宋_GB2312"/>
                <w:b w:val="0"/>
                <w:bCs w:val="0"/>
                <w:strike w:val="0"/>
                <w:dstrike w:val="0"/>
                <w:kern w:val="2"/>
                <w:sz w:val="21"/>
                <w:szCs w:val="21"/>
                <w:u w:val="none"/>
                <w:lang w:val="en-US" w:eastAsia="zh-CN" w:bidi="ar-SA"/>
              </w:rPr>
            </w:pPr>
            <w:r>
              <w:rPr>
                <w:rFonts w:hint="eastAsia" w:ascii="仿宋_GB2312" w:hAnsi="仿宋_GB2312" w:eastAsia="仿宋_GB2312" w:cs="仿宋_GB2312"/>
                <w:b w:val="0"/>
                <w:bCs w:val="0"/>
                <w:strike w:val="0"/>
                <w:dstrike w:val="0"/>
                <w:sz w:val="21"/>
                <w:szCs w:val="21"/>
                <w:u w:val="none"/>
                <w:lang w:val="en-US" w:eastAsia="zh-CN"/>
              </w:rPr>
              <w:t>本细则自  年 月  日起实施，有效期同《办法》。原《广东省优质中小企业梯度培育管理实施细则》（粤工信规字〔2024〕5号）中涉及专精特新中小企业和专精特新“小巨人”企业相关条款和认定标准同时废止。在本细则实施前认定的专精特新中小企业和专精特新“小巨人”企业继续有效，到期复核按本细则认定和复核执行。</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41D7D978">
            <w:pPr>
              <w:widowControl/>
              <w:jc w:val="both"/>
              <w:textAlignment w:val="center"/>
              <w:rPr>
                <w:rFonts w:hint="eastAsia" w:ascii="仿宋_GB2312" w:hAnsi="仿宋_GB2312" w:eastAsia="仿宋_GB2312" w:cs="仿宋_GB2312"/>
                <w:b w:val="0"/>
                <w:bCs w:val="0"/>
                <w:strike w:val="0"/>
                <w:dstrike w:val="0"/>
                <w:kern w:val="2"/>
                <w:sz w:val="21"/>
                <w:szCs w:val="21"/>
                <w:u w:val="none"/>
                <w:lang w:val="en-US" w:eastAsia="zh-CN" w:bidi="ar-SA"/>
              </w:rPr>
            </w:pPr>
            <w:r>
              <w:rPr>
                <w:rFonts w:hint="eastAsia" w:ascii="仿宋_GB2312" w:hAnsi="仿宋_GB2312" w:eastAsia="仿宋_GB2312" w:cs="仿宋_GB2312"/>
                <w:b w:val="0"/>
                <w:bCs w:val="0"/>
                <w:strike w:val="0"/>
                <w:dstrike w:val="0"/>
                <w:sz w:val="21"/>
                <w:szCs w:val="21"/>
                <w:u w:val="none"/>
                <w:lang w:val="en-US" w:eastAsia="zh-CN"/>
              </w:rPr>
              <w:t>明确了新修订的细则实施日期，同时对原细则中涉及专精特新中小企业和专精特新“小巨人”企业相关条款和认定标准作废止处理。与工信部《办法》保持一致。</w:t>
            </w:r>
          </w:p>
        </w:tc>
      </w:tr>
      <w:tr w14:paraId="0F5CB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9"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674F69CE">
            <w:pPr>
              <w:spacing w:line="240" w:lineRule="auto"/>
              <w:jc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1"/>
                <w:szCs w:val="21"/>
                <w:u w:val="none"/>
                <w:lang w:eastAsia="zh-CN"/>
              </w:rPr>
              <w:t>第二十五条</w:t>
            </w:r>
          </w:p>
        </w:tc>
        <w:tc>
          <w:tcPr>
            <w:tcW w:w="4119" w:type="dxa"/>
            <w:gridSpan w:val="2"/>
            <w:tcBorders>
              <w:top w:val="single" w:color="000000" w:sz="4" w:space="0"/>
              <w:left w:val="single" w:color="000000" w:sz="4" w:space="0"/>
              <w:bottom w:val="single" w:color="000000" w:sz="4" w:space="0"/>
              <w:right w:val="single" w:color="000000" w:sz="4" w:space="0"/>
            </w:tcBorders>
            <w:noWrap w:val="0"/>
            <w:vAlign w:val="center"/>
          </w:tcPr>
          <w:p w14:paraId="312363C1">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本细则由省工业和信息化厅负责解释。</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2DA4EB0E">
            <w:pPr>
              <w:widowControl/>
              <w:jc w:val="center"/>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第三十五条</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510B89E7">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本细则由省工业和信息化厅负责解释。</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43C59606">
            <w:pPr>
              <w:widowControl/>
              <w:jc w:val="both"/>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调整了条款序号，内容未作修改。</w:t>
            </w:r>
          </w:p>
        </w:tc>
      </w:tr>
      <w:tr w14:paraId="5A5B9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2"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13178A61">
            <w:pPr>
              <w:spacing w:line="240" w:lineRule="auto"/>
              <w:jc w:val="center"/>
              <w:rPr>
                <w:rFonts w:hint="eastAsia" w:ascii="仿宋_GB2312" w:hAnsi="仿宋_GB2312" w:eastAsia="仿宋_GB2312" w:cs="仿宋_GB2312"/>
                <w:b w:val="0"/>
                <w:bCs w:val="0"/>
                <w:strike w:val="0"/>
                <w:dstrike w:val="0"/>
                <w:sz w:val="21"/>
                <w:szCs w:val="21"/>
                <w:lang w:val="en-US" w:eastAsia="zh-CN"/>
              </w:rPr>
            </w:pPr>
          </w:p>
        </w:tc>
        <w:tc>
          <w:tcPr>
            <w:tcW w:w="4119" w:type="dxa"/>
            <w:gridSpan w:val="2"/>
            <w:tcBorders>
              <w:top w:val="single" w:color="000000" w:sz="4" w:space="0"/>
              <w:left w:val="single" w:color="000000" w:sz="4" w:space="0"/>
              <w:bottom w:val="single" w:color="000000" w:sz="4" w:space="0"/>
              <w:right w:val="single" w:color="000000" w:sz="4" w:space="0"/>
            </w:tcBorders>
            <w:noWrap w:val="0"/>
            <w:vAlign w:val="center"/>
          </w:tcPr>
          <w:p w14:paraId="0376C29F">
            <w:pPr>
              <w:widowControl/>
              <w:jc w:val="center"/>
              <w:textAlignment w:val="center"/>
              <w:rPr>
                <w:rFonts w:hint="default"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bCs/>
                <w:strike w:val="0"/>
                <w:dstrike w:val="0"/>
                <w:sz w:val="18"/>
                <w:szCs w:val="18"/>
                <w:u w:val="none"/>
                <w:lang w:eastAsia="zh-CN"/>
              </w:rPr>
              <w:t>附件</w:t>
            </w:r>
            <w:r>
              <w:rPr>
                <w:rFonts w:hint="eastAsia" w:ascii="仿宋_GB2312" w:hAnsi="仿宋_GB2312" w:eastAsia="仿宋_GB2312" w:cs="仿宋_GB2312"/>
                <w:b/>
                <w:bCs/>
                <w:strike w:val="0"/>
                <w:dstrike w:val="0"/>
                <w:sz w:val="18"/>
                <w:szCs w:val="18"/>
                <w:u w:val="none"/>
                <w:lang w:val="en-US" w:eastAsia="zh-CN"/>
              </w:rPr>
              <w:t>1 创新型中小企业评价标准</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399D499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spacing w:val="0"/>
                <w:kern w:val="2"/>
                <w:sz w:val="21"/>
                <w:szCs w:val="21"/>
                <w:shd w:val="clear" w:color="auto" w:fill="auto"/>
                <w:lang w:eastAsia="zh-CN"/>
              </w:rPr>
            </w:pP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0ADB483">
            <w:pPr>
              <w:widowControl/>
              <w:jc w:val="center"/>
              <w:textAlignment w:val="center"/>
              <w:rPr>
                <w:rFonts w:hint="eastAsia" w:ascii="仿宋_GB2312" w:hAnsi="仿宋_GB2312" w:eastAsia="仿宋_GB2312" w:cs="仿宋_GB2312"/>
                <w:b w:val="0"/>
                <w:bCs w:val="0"/>
                <w:strike w:val="0"/>
                <w:dstrike w:val="0"/>
                <w:kern w:val="2"/>
                <w:sz w:val="21"/>
                <w:szCs w:val="21"/>
                <w:u w:val="none"/>
                <w:lang w:val="en-US" w:eastAsia="zh-CN" w:bidi="ar-SA"/>
              </w:rPr>
            </w:pPr>
            <w:r>
              <w:rPr>
                <w:rFonts w:hint="eastAsia" w:ascii="仿宋_GB2312" w:hAnsi="仿宋_GB2312" w:eastAsia="仿宋_GB2312" w:cs="仿宋_GB2312"/>
                <w:b w:val="0"/>
                <w:bCs w:val="0"/>
                <w:strike w:val="0"/>
                <w:dstrike w:val="0"/>
                <w:sz w:val="21"/>
                <w:szCs w:val="21"/>
                <w:u w:val="none"/>
                <w:lang w:val="en-US" w:eastAsia="zh-CN"/>
              </w:rPr>
              <w:t>删除</w:t>
            </w:r>
            <w:r>
              <w:rPr>
                <w:rFonts w:hint="default" w:ascii="仿宋_GB2312" w:hAnsi="仿宋_GB2312" w:eastAsia="仿宋_GB2312" w:cs="仿宋_GB2312"/>
                <w:b w:val="0"/>
                <w:bCs w:val="0"/>
                <w:strike w:val="0"/>
                <w:dstrike w:val="0"/>
                <w:sz w:val="21"/>
                <w:szCs w:val="21"/>
                <w:u w:val="none"/>
                <w:lang w:val="en-US" w:eastAsia="zh-CN"/>
              </w:rPr>
              <w:t>此</w:t>
            </w:r>
            <w:r>
              <w:rPr>
                <w:rFonts w:hint="eastAsia" w:ascii="仿宋_GB2312" w:hAnsi="仿宋_GB2312" w:eastAsia="仿宋_GB2312" w:cs="仿宋_GB2312"/>
                <w:b w:val="0"/>
                <w:bCs w:val="0"/>
                <w:strike w:val="0"/>
                <w:dstrike w:val="0"/>
                <w:sz w:val="21"/>
                <w:szCs w:val="21"/>
                <w:u w:val="none"/>
                <w:lang w:val="en-US" w:eastAsia="zh-CN"/>
              </w:rPr>
              <w:t>条款。</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210655D4">
            <w:pPr>
              <w:widowControl/>
              <w:jc w:val="both"/>
              <w:textAlignment w:val="center"/>
              <w:rPr>
                <w:rFonts w:hint="eastAsia" w:ascii="仿宋_GB2312" w:hAnsi="仿宋_GB2312" w:eastAsia="仿宋_GB2312" w:cs="仿宋_GB2312"/>
                <w:b w:val="0"/>
                <w:bCs w:val="0"/>
                <w:strike w:val="0"/>
                <w:dstrike w:val="0"/>
                <w:kern w:val="2"/>
                <w:sz w:val="21"/>
                <w:szCs w:val="21"/>
                <w:u w:val="none"/>
                <w:lang w:val="en-US" w:eastAsia="zh-CN" w:bidi="ar-SA"/>
              </w:rPr>
            </w:pPr>
            <w:r>
              <w:rPr>
                <w:rFonts w:hint="eastAsia" w:ascii="仿宋_GB2312" w:hAnsi="仿宋_GB2312" w:eastAsia="仿宋_GB2312" w:cs="仿宋_GB2312"/>
                <w:b w:val="0"/>
                <w:bCs w:val="0"/>
                <w:strike w:val="0"/>
                <w:dstrike w:val="0"/>
                <w:sz w:val="21"/>
                <w:szCs w:val="21"/>
                <w:u w:val="none"/>
                <w:lang w:val="en-US" w:eastAsia="zh-CN"/>
              </w:rPr>
              <w:t>科技和创新型中小企业培育管理的职责和权限待后续工业和信息化部联合有关部门发文规定，创新型中小企业目前相关工作，根据《办法》要求，继续按照《暂行办法》的评价标准、工作程序和职责开展，与工信部《办法》保持一致。</w:t>
            </w:r>
          </w:p>
        </w:tc>
      </w:tr>
      <w:tr w14:paraId="413AD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27BCA2AC">
            <w:pPr>
              <w:spacing w:line="240" w:lineRule="auto"/>
              <w:jc w:val="center"/>
              <w:rPr>
                <w:rFonts w:hint="eastAsia" w:ascii="仿宋_GB2312" w:hAnsi="仿宋_GB2312" w:eastAsia="仿宋_GB2312" w:cs="仿宋_GB2312"/>
                <w:b w:val="0"/>
                <w:bCs w:val="0"/>
                <w:strike w:val="0"/>
                <w:dstrike w:val="0"/>
                <w:sz w:val="21"/>
                <w:szCs w:val="21"/>
                <w:u w:val="none"/>
                <w:lang w:eastAsia="zh-CN"/>
              </w:rPr>
            </w:pPr>
          </w:p>
        </w:tc>
        <w:tc>
          <w:tcPr>
            <w:tcW w:w="4119" w:type="dxa"/>
            <w:gridSpan w:val="2"/>
            <w:tcBorders>
              <w:top w:val="single" w:color="000000" w:sz="4" w:space="0"/>
              <w:left w:val="single" w:color="000000" w:sz="4" w:space="0"/>
              <w:bottom w:val="single" w:color="000000" w:sz="4" w:space="0"/>
              <w:right w:val="single" w:color="000000" w:sz="4" w:space="0"/>
            </w:tcBorders>
            <w:noWrap w:val="0"/>
            <w:vAlign w:val="center"/>
          </w:tcPr>
          <w:p w14:paraId="6781E353">
            <w:pPr>
              <w:widowControl/>
              <w:jc w:val="center"/>
              <w:textAlignment w:val="center"/>
              <w:rPr>
                <w:rFonts w:hint="eastAsia" w:ascii="仿宋_GB2312" w:hAnsi="仿宋_GB2312" w:eastAsia="仿宋_GB2312" w:cs="仿宋_GB2312"/>
                <w:b w:val="0"/>
                <w:bCs w:val="0"/>
                <w:strike w:val="0"/>
                <w:dstrike w:val="0"/>
                <w:sz w:val="21"/>
                <w:szCs w:val="21"/>
                <w:u w:val="none"/>
                <w:lang w:val="en-US" w:eastAsia="zh-CN"/>
              </w:rPr>
            </w:pPr>
            <w:r>
              <w:rPr>
                <w:rFonts w:hint="eastAsia" w:ascii="仿宋_GB2312" w:hAnsi="仿宋_GB2312" w:eastAsia="仿宋_GB2312" w:cs="仿宋_GB2312"/>
                <w:b/>
                <w:bCs/>
                <w:strike w:val="0"/>
                <w:dstrike w:val="0"/>
                <w:sz w:val="18"/>
                <w:szCs w:val="18"/>
                <w:u w:val="none"/>
                <w:lang w:eastAsia="zh-CN"/>
              </w:rPr>
              <w:t>附件</w:t>
            </w:r>
            <w:r>
              <w:rPr>
                <w:rFonts w:hint="eastAsia" w:ascii="仿宋_GB2312" w:hAnsi="仿宋_GB2312" w:eastAsia="仿宋_GB2312" w:cs="仿宋_GB2312"/>
                <w:b/>
                <w:bCs/>
                <w:strike w:val="0"/>
                <w:dstrike w:val="0"/>
                <w:sz w:val="18"/>
                <w:szCs w:val="18"/>
                <w:u w:val="none"/>
                <w:lang w:val="en-US" w:eastAsia="zh-CN"/>
              </w:rPr>
              <w:t>2 专精特新中小企业认定标准</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1530510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spacing w:val="0"/>
                <w:kern w:val="2"/>
                <w:sz w:val="21"/>
                <w:szCs w:val="21"/>
                <w:shd w:val="clear" w:color="auto" w:fill="auto"/>
                <w:lang w:eastAsia="zh-CN"/>
              </w:rPr>
            </w:pP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792306C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b/>
                <w:bCs/>
                <w:strike w:val="0"/>
                <w:dstrike w:val="0"/>
                <w:sz w:val="18"/>
                <w:szCs w:val="18"/>
                <w:u w:val="none"/>
                <w:lang w:eastAsia="zh-CN"/>
              </w:rPr>
              <w:t>附件</w:t>
            </w:r>
            <w:r>
              <w:rPr>
                <w:rFonts w:hint="eastAsia" w:ascii="仿宋_GB2312" w:hAnsi="仿宋_GB2312" w:eastAsia="仿宋_GB2312" w:cs="仿宋_GB2312"/>
                <w:b/>
                <w:bCs/>
                <w:strike w:val="0"/>
                <w:dstrike w:val="0"/>
                <w:sz w:val="18"/>
                <w:szCs w:val="18"/>
                <w:u w:val="none"/>
                <w:lang w:val="en-US" w:eastAsia="zh-CN"/>
              </w:rPr>
              <w:t>2</w:t>
            </w:r>
            <w:ins w:id="1" w:author="周明" w:date="2026-04-09T09:16:00Z">
              <w:r>
                <w:rPr>
                  <w:rFonts w:hint="eastAsia" w:ascii="仿宋_GB2312" w:hAnsi="仿宋_GB2312" w:eastAsia="仿宋_GB2312" w:cs="仿宋_GB2312"/>
                  <w:b/>
                  <w:bCs/>
                  <w:strike w:val="0"/>
                  <w:dstrike w:val="0"/>
                  <w:sz w:val="18"/>
                  <w:szCs w:val="18"/>
                  <w:u w:val="none"/>
                  <w:lang w:val="en-US" w:eastAsia="zh-CN"/>
                </w:rPr>
                <w:t>-1</w:t>
              </w:r>
            </w:ins>
            <w:r>
              <w:rPr>
                <w:rFonts w:hint="eastAsia" w:ascii="仿宋_GB2312" w:hAnsi="仿宋_GB2312" w:eastAsia="仿宋_GB2312" w:cs="仿宋_GB2312"/>
                <w:b/>
                <w:bCs/>
                <w:strike w:val="0"/>
                <w:dstrike w:val="0"/>
                <w:sz w:val="18"/>
                <w:szCs w:val="18"/>
                <w:u w:val="none"/>
                <w:lang w:val="en-US" w:eastAsia="zh-CN"/>
              </w:rPr>
              <w:t xml:space="preserve"> 专精特新中小企业认定标准</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5A470C8D">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default" w:ascii="仿宋_GB2312" w:hAnsi="仿宋_GB2312" w:eastAsia="仿宋_GB2312" w:cs="仿宋_GB2312"/>
                <w:b w:val="0"/>
                <w:bCs w:val="0"/>
                <w:strike w:val="0"/>
                <w:dstrike w:val="0"/>
                <w:sz w:val="21"/>
                <w:szCs w:val="21"/>
                <w:u w:val="none"/>
                <w:lang w:val="en-US" w:eastAsia="zh-CN"/>
              </w:rPr>
            </w:pPr>
          </w:p>
        </w:tc>
      </w:tr>
      <w:tr w14:paraId="65D56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48841A0A">
            <w:pPr>
              <w:spacing w:line="240" w:lineRule="auto"/>
              <w:jc w:val="center"/>
              <w:rPr>
                <w:rFonts w:hint="eastAsia" w:ascii="仿宋_GB2312" w:hAnsi="仿宋_GB2312" w:eastAsia="仿宋_GB2312" w:cs="仿宋_GB2312"/>
                <w:b w:val="0"/>
                <w:bCs w:val="0"/>
                <w:strike w:val="0"/>
                <w:dstrike w:val="0"/>
                <w:sz w:val="21"/>
                <w:szCs w:val="21"/>
                <w:u w:val="none"/>
                <w:lang w:eastAsia="zh-CN"/>
              </w:rPr>
            </w:pPr>
          </w:p>
        </w:tc>
        <w:tc>
          <w:tcPr>
            <w:tcW w:w="4119" w:type="dxa"/>
            <w:gridSpan w:val="2"/>
            <w:tcBorders>
              <w:top w:val="single" w:color="000000" w:sz="4" w:space="0"/>
              <w:left w:val="single" w:color="000000" w:sz="4" w:space="0"/>
              <w:bottom w:val="single" w:color="000000" w:sz="4" w:space="0"/>
              <w:right w:val="single" w:color="000000" w:sz="4" w:space="0"/>
            </w:tcBorders>
            <w:noWrap w:val="0"/>
            <w:vAlign w:val="center"/>
          </w:tcPr>
          <w:p w14:paraId="483E344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一、认定条件</w:t>
            </w:r>
          </w:p>
          <w:p w14:paraId="18A90554">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同时满足以下四项条件即视为满足认定条件：</w:t>
            </w:r>
          </w:p>
          <w:p w14:paraId="6B19927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（一）从事特定细分市场时间达到2年以上。</w:t>
            </w:r>
          </w:p>
          <w:p w14:paraId="7472A82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（二）上年度研发费用总额不低于100万元，且占营业收入总额比重不低于3%。</w:t>
            </w:r>
          </w:p>
          <w:p w14:paraId="6FE3EC8D">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（三）上年度营业收入总额在1000万元以上，或上年度营业收入总额在1000万元以下，但近2年新增股权融资总额（合格机构投资者的实缴额）达到2000万元以上。</w:t>
            </w:r>
          </w:p>
          <w:p w14:paraId="0676340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（四）评价得分达到70分以上或满足下列条件之一：</w:t>
            </w:r>
          </w:p>
          <w:p w14:paraId="7697999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1.近三年获得过省级科技奖励，并在获奖单位中排名前三；或获得国家级科技奖励，并在获奖单位中排名前五。</w:t>
            </w:r>
          </w:p>
          <w:p w14:paraId="5A6AEB4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2.近两年研发费用总额均值在1000万元以上。</w:t>
            </w:r>
          </w:p>
          <w:p w14:paraId="62C666F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3.近两年新增股权融资总额（合格机构投资者的实缴额）6000万元以上。</w:t>
            </w:r>
          </w:p>
          <w:p w14:paraId="187336EA">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4.近三年进入“创客中国”中小企业创新创业大赛全国500强企业组名单。</w:t>
            </w:r>
          </w:p>
          <w:p w14:paraId="7BEBBBD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二、评价指标</w:t>
            </w:r>
          </w:p>
          <w:p w14:paraId="4C353BE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包括专业化、精细化、特色化和创新能力四类十三个指标，评价结果依分值计算，满分为100分。</w:t>
            </w:r>
          </w:p>
          <w:p w14:paraId="0B2EB4E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（一）专业化指标（满分25分）</w:t>
            </w:r>
          </w:p>
          <w:p w14:paraId="63019D44">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1.上年度主营业务收入总额占营业收入总额比重（满分5分）</w:t>
            </w:r>
          </w:p>
          <w:p w14:paraId="04AF662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A.80%以上（5分）</w:t>
            </w:r>
          </w:p>
          <w:p w14:paraId="75DAD77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B.70%-80%（3分）</w:t>
            </w:r>
          </w:p>
          <w:p w14:paraId="182B834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C.60%-70%（1分）</w:t>
            </w:r>
          </w:p>
          <w:p w14:paraId="7561A68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D.60%以下（0分）</w:t>
            </w:r>
          </w:p>
          <w:p w14:paraId="342F064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2.近2年主营业务收入平均增长率（满分10分）</w:t>
            </w:r>
          </w:p>
          <w:p w14:paraId="40B5C7A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A.10%以上（10分）</w:t>
            </w:r>
          </w:p>
          <w:p w14:paraId="7A4207DA">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B.8%-10%（8分）</w:t>
            </w:r>
          </w:p>
          <w:p w14:paraId="04C9133A">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C.6%-8%（6分）</w:t>
            </w:r>
          </w:p>
          <w:p w14:paraId="0DA6A8D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D.4%-6%（4分）</w:t>
            </w:r>
          </w:p>
          <w:p w14:paraId="7F0D09F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E.0%-4%（2分）</w:t>
            </w:r>
          </w:p>
          <w:p w14:paraId="6D06F40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F.0%以下（0分）</w:t>
            </w:r>
          </w:p>
          <w:p w14:paraId="7B51CBD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3.从事特定细分市场年限（满分5分）</w:t>
            </w:r>
          </w:p>
          <w:p w14:paraId="7B0E066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每满2年得1分，最高不超过5分。</w:t>
            </w:r>
          </w:p>
          <w:p w14:paraId="3620A50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4.主导产品所属领域情况（满分5分）</w:t>
            </w:r>
          </w:p>
          <w:p w14:paraId="3DC2717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A.在产业链供应链关键环节及关键领域“补短板”“锻长板”“填空白”取得实际成效（5分）</w:t>
            </w:r>
          </w:p>
          <w:p w14:paraId="37A2C26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B.属于工业“六基”领域、中华老字号名录或企业主导产品服务关键产业链重点龙头企业（3分）</w:t>
            </w:r>
          </w:p>
          <w:p w14:paraId="5D7E720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C.不属于以上情况（0分）</w:t>
            </w:r>
          </w:p>
          <w:p w14:paraId="714013D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（二）精细化指标（满分25分）</w:t>
            </w:r>
          </w:p>
          <w:p w14:paraId="45E92A7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5.数字化水平（满分5分）</w:t>
            </w:r>
          </w:p>
          <w:p w14:paraId="6C08557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A.三级以上（5分）</w:t>
            </w:r>
          </w:p>
          <w:p w14:paraId="6743C11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B.二级（3分）</w:t>
            </w:r>
          </w:p>
          <w:p w14:paraId="6321E72A">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C.一级（0分）</w:t>
            </w:r>
          </w:p>
          <w:p w14:paraId="036F01A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6.质量管理水平（每满足一项加3分，最高不超过5分）</w:t>
            </w:r>
          </w:p>
          <w:p w14:paraId="7E76650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A.获得省级以上质量奖荣誉</w:t>
            </w:r>
          </w:p>
          <w:p w14:paraId="511ECAC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B.建立质量管理体系，获得ISO9001等质量管理体系认证证书</w:t>
            </w:r>
          </w:p>
          <w:p w14:paraId="146B22C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C.拥有自主品牌</w:t>
            </w:r>
          </w:p>
          <w:p w14:paraId="76B6FDD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D.参与制修订标准</w:t>
            </w:r>
          </w:p>
          <w:p w14:paraId="7A2823BD">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7.上年度净利润率（满分10分）</w:t>
            </w:r>
          </w:p>
          <w:p w14:paraId="5819A1D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A.10%以上（10分）</w:t>
            </w:r>
          </w:p>
          <w:p w14:paraId="7E55848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B.8%-10%（8分）</w:t>
            </w:r>
          </w:p>
          <w:p w14:paraId="6A82BC8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C.6%-8%（6分）</w:t>
            </w:r>
          </w:p>
          <w:p w14:paraId="03792D6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D.4%-6%（4分）</w:t>
            </w:r>
          </w:p>
          <w:p w14:paraId="7EFBCF0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E.2%-4%（2分）</w:t>
            </w:r>
          </w:p>
          <w:p w14:paraId="573EEBC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F.2%以下（0分）</w:t>
            </w:r>
          </w:p>
          <w:p w14:paraId="59BFF204">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8.上年度资产负债率（满分5分）</w:t>
            </w:r>
          </w:p>
          <w:p w14:paraId="2669C61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A.50%以下（5分）</w:t>
            </w:r>
          </w:p>
          <w:p w14:paraId="0C260C6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B.50%-60%（3分）</w:t>
            </w:r>
          </w:p>
          <w:p w14:paraId="00745C2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C.60%-70%（1分）</w:t>
            </w:r>
          </w:p>
          <w:p w14:paraId="20C0E23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D.70%以上（0分）</w:t>
            </w:r>
          </w:p>
          <w:p w14:paraId="5DF2433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（三）特色化指标（满分15分）（由广东省自主设定）</w:t>
            </w:r>
          </w:p>
          <w:p w14:paraId="001013D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9.特色化指标（最高不超过15分）</w:t>
            </w:r>
          </w:p>
          <w:p w14:paraId="7A79DCD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A.从事细分产品市场属于制造业核心基础零部件、元器件、关键软件、先进基础工艺、关键基础材料和产业技术基础；或符合制造强国战略十大重点产业领域；或属于网络强国建设的信息基础设施、关键核心技术、网络安全、数据安全领域等产品（5分）</w:t>
            </w:r>
          </w:p>
          <w:p w14:paraId="26E9A1A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B.掌握特色工艺、技术、配方或服务，并有相关专利技术或其它相关支撑材料（5分）</w:t>
            </w:r>
          </w:p>
          <w:p w14:paraId="35A6C80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C.被认定为省级及以上首台（套）（5分）</w:t>
            </w:r>
          </w:p>
          <w:p w14:paraId="1181B8F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D.纳入国家绿色制造名单（绿色园区除外）（5分）</w:t>
            </w:r>
          </w:p>
          <w:p w14:paraId="4A20A85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E.近三年进入“创客广东”中小企业创新创业大赛广东省100强企业组名单（5分）</w:t>
            </w:r>
          </w:p>
          <w:p w14:paraId="5DAB70F5">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F.近三年企业获得“省长杯”工业设计大赛决赛优秀奖及以上（5分）</w:t>
            </w:r>
          </w:p>
          <w:p w14:paraId="07E52C6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G.拥有国家人才项目人员的企业加5分，拥有省级人才项目人员的企业加3分，拥有市级人才项目人员的企业加2分，向国家级人才项目推荐人选的企业加1分</w:t>
            </w:r>
          </w:p>
          <w:p w14:paraId="2E89FCF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（四）创新能力指标（满分35分）</w:t>
            </w:r>
          </w:p>
          <w:p w14:paraId="55E276C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10.与企业主导产品相关的有效知识产权数量（满分10分）</w:t>
            </w:r>
          </w:p>
          <w:p w14:paraId="52541AA5">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A.Ⅰ类高价值知识产权1项以上（10分）</w:t>
            </w:r>
          </w:p>
          <w:p w14:paraId="713AA22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B.自主研发Ⅰ类知识产权1项以上（8分）</w:t>
            </w:r>
          </w:p>
          <w:p w14:paraId="6E35706D">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C.Ⅰ类知识产权1项以上（6分）</w:t>
            </w:r>
          </w:p>
          <w:p w14:paraId="206B735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D.Ⅱ类知识产权1项以上（2分）</w:t>
            </w:r>
          </w:p>
          <w:p w14:paraId="74346F2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E.无（0分）</w:t>
            </w:r>
          </w:p>
          <w:p w14:paraId="35D96F8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11.上年度研发费用投入（满分10分）</w:t>
            </w:r>
          </w:p>
          <w:p w14:paraId="1BB26405">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A.研发费用总额500万元以上或研发费用总额占营业收入总额比重在10%以上（10分）</w:t>
            </w:r>
          </w:p>
          <w:p w14:paraId="5FF2A8C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B.研发费用总额400-500万元或研发费用总额占营业收入总额比重在8%-10%（8分）</w:t>
            </w:r>
          </w:p>
          <w:p w14:paraId="56CD6414">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C.研发费用总额300-400万元或研发费用总额占营业收入总额比重在6%-8%（6分）</w:t>
            </w:r>
          </w:p>
          <w:p w14:paraId="2844ECC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D.研发费用总额200-300万元或研发费用总额占营业收入总额比重在4%-6%（4分）</w:t>
            </w:r>
          </w:p>
          <w:p w14:paraId="001C0AD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E.研发费用总额100-200万元或研发费用总额占营业收入总额比重在3%-4%（2分）</w:t>
            </w:r>
          </w:p>
          <w:p w14:paraId="35BF2D2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F.不属于以上情况（0分）</w:t>
            </w:r>
          </w:p>
          <w:p w14:paraId="367609DD">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12.上年度研发人员占比（满分5分）</w:t>
            </w:r>
          </w:p>
          <w:p w14:paraId="6885583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A.20%以上（5分）</w:t>
            </w:r>
          </w:p>
          <w:p w14:paraId="5501CCBA">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B.10%-20%（3分）</w:t>
            </w:r>
          </w:p>
          <w:p w14:paraId="5DD76AF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C.5%-10%（1分）</w:t>
            </w:r>
          </w:p>
          <w:p w14:paraId="5DA15CE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D.5%以下（0分）</w:t>
            </w:r>
          </w:p>
          <w:p w14:paraId="5811787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13.建立研发机构级别（满分10分）</w:t>
            </w:r>
          </w:p>
          <w:p w14:paraId="462D455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A.国家级（10分）</w:t>
            </w:r>
          </w:p>
          <w:p w14:paraId="746AB78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B.省级（8分）</w:t>
            </w:r>
          </w:p>
          <w:p w14:paraId="5A1CEBE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C.市级（4分）</w:t>
            </w:r>
          </w:p>
          <w:p w14:paraId="7735FEF4">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D.市级以下（2分）</w:t>
            </w:r>
          </w:p>
          <w:p w14:paraId="29BCD454">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val="0"/>
                <w:bCs w:val="0"/>
                <w:strike w:val="0"/>
                <w:dstrike w:val="0"/>
                <w:sz w:val="20"/>
                <w:szCs w:val="20"/>
                <w:u w:val="none"/>
                <w:lang w:eastAsia="zh-CN"/>
              </w:rPr>
              <w:t>E.未建立研发机构（0分）</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00A7DF6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spacing w:val="0"/>
                <w:kern w:val="2"/>
                <w:sz w:val="21"/>
                <w:szCs w:val="21"/>
                <w:shd w:val="clear" w:color="auto" w:fill="auto"/>
                <w:lang w:eastAsia="zh-CN"/>
              </w:rPr>
            </w:pP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39E9F9E">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color w:val="auto"/>
                <w:spacing w:val="0"/>
                <w:kern w:val="2"/>
                <w:sz w:val="21"/>
                <w:szCs w:val="21"/>
                <w:shd w:val="clear" w:color="auto" w:fill="auto"/>
                <w:lang w:eastAsia="zh-CN"/>
              </w:rPr>
              <w:t>需同时满足以下六项指标：</w:t>
            </w:r>
          </w:p>
          <w:p w14:paraId="523FF4D8">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color w:val="auto"/>
                <w:spacing w:val="0"/>
                <w:kern w:val="2"/>
                <w:sz w:val="21"/>
                <w:szCs w:val="21"/>
                <w:shd w:val="clear" w:color="auto" w:fill="auto"/>
                <w:lang w:eastAsia="zh-CN"/>
              </w:rPr>
              <w:t>（一）已获得科技和创新型中小企业称号，截至上年末从事特定细分市场时间达3年以上。</w:t>
            </w:r>
          </w:p>
          <w:p w14:paraId="6B0C9FD9">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color w:val="auto"/>
                <w:spacing w:val="0"/>
                <w:kern w:val="2"/>
                <w:sz w:val="21"/>
                <w:szCs w:val="21"/>
                <w:shd w:val="clear" w:color="auto" w:fill="auto"/>
                <w:lang w:eastAsia="zh-CN"/>
              </w:rPr>
              <w:t>（二）上年度营业收入总额达1500万元以上或近两年新增股权投资（合格机构投资者的实缴额）总额2000万元以上，主营业务收入总额占营业收入总额比重不低于80%，上年末资产负债率不超过80%。</w:t>
            </w:r>
          </w:p>
          <w:p w14:paraId="36BCB4DA">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color w:val="auto"/>
                <w:spacing w:val="0"/>
                <w:kern w:val="2"/>
                <w:sz w:val="21"/>
                <w:szCs w:val="21"/>
                <w:shd w:val="clear" w:color="auto" w:fill="auto"/>
                <w:lang w:eastAsia="zh-CN"/>
              </w:rPr>
              <w:t>（三）近两年研发费用均不低于100万元，且每年占营业收入比重均不低于3%。</w:t>
            </w:r>
          </w:p>
          <w:p w14:paraId="69387C2A">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color w:val="auto"/>
                <w:spacing w:val="0"/>
                <w:kern w:val="2"/>
                <w:sz w:val="21"/>
                <w:szCs w:val="21"/>
                <w:shd w:val="clear" w:color="auto" w:fill="auto"/>
                <w:lang w:eastAsia="zh-CN"/>
              </w:rPr>
              <w:t>（四）拥有1项以上与主导产品相关的Ι类知识产权，且实际应用并已产生经济效益。对近三年获得省部级以上科学技术奖励（排名前三）或拥有经认定的省部级以上研发机构的企业，不考察本项指标。</w:t>
            </w:r>
          </w:p>
          <w:p w14:paraId="2D1E8F54">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color w:val="auto"/>
                <w:spacing w:val="0"/>
                <w:kern w:val="2"/>
                <w:sz w:val="21"/>
                <w:szCs w:val="21"/>
                <w:shd w:val="clear" w:color="auto" w:fill="auto"/>
                <w:lang w:eastAsia="zh-CN"/>
              </w:rPr>
              <w:t>（五）主导产品在国内或国际细分市场占有率较为靠前，且享有一定知名度、影响力。</w:t>
            </w:r>
          </w:p>
          <w:p w14:paraId="7BDFDA8B">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color w:val="auto"/>
                <w:spacing w:val="0"/>
                <w:kern w:val="2"/>
                <w:sz w:val="21"/>
                <w:szCs w:val="21"/>
                <w:shd w:val="clear" w:color="auto" w:fill="auto"/>
                <w:lang w:eastAsia="zh-CN"/>
              </w:rPr>
              <w:t>（六）本年度中小企业专精特新发展评价得分达50分以上（复核企业近两年任意一年达50分以上即可）。指标体系见《中小企业专精特新发展评价指标体系（试行）》。</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4AFE745B">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strike w:val="0"/>
                <w:dstrike w:val="0"/>
                <w:color w:val="auto"/>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落实全国一把尺要求，与工信部《办法》保持一致。</w:t>
            </w:r>
          </w:p>
        </w:tc>
      </w:tr>
      <w:tr w14:paraId="10A2E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15B74EA4">
            <w:pPr>
              <w:spacing w:line="240" w:lineRule="auto"/>
              <w:jc w:val="center"/>
              <w:rPr>
                <w:rFonts w:hint="eastAsia" w:ascii="仿宋_GB2312" w:hAnsi="仿宋_GB2312" w:eastAsia="仿宋_GB2312" w:cs="仿宋_GB2312"/>
                <w:b w:val="0"/>
                <w:bCs w:val="0"/>
                <w:strike w:val="0"/>
                <w:dstrike w:val="0"/>
                <w:sz w:val="21"/>
                <w:szCs w:val="21"/>
                <w:u w:val="none"/>
                <w:lang w:eastAsia="zh-CN"/>
              </w:rPr>
            </w:pPr>
          </w:p>
        </w:tc>
        <w:tc>
          <w:tcPr>
            <w:tcW w:w="4119" w:type="dxa"/>
            <w:gridSpan w:val="2"/>
            <w:tcBorders>
              <w:top w:val="single" w:color="000000" w:sz="4" w:space="0"/>
              <w:left w:val="single" w:color="000000" w:sz="4" w:space="0"/>
              <w:bottom w:val="single" w:color="000000" w:sz="4" w:space="0"/>
              <w:right w:val="single" w:color="000000" w:sz="4" w:space="0"/>
            </w:tcBorders>
            <w:noWrap w:val="0"/>
            <w:vAlign w:val="center"/>
          </w:tcPr>
          <w:p w14:paraId="5F39F28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strike w:val="0"/>
                <w:dstrike w:val="0"/>
                <w:sz w:val="21"/>
                <w:szCs w:val="21"/>
                <w:u w:val="none"/>
                <w:lang w:eastAsia="zh-CN"/>
              </w:rPr>
            </w:pPr>
            <w:r>
              <w:rPr>
                <w:rFonts w:hint="eastAsia" w:ascii="仿宋_GB2312" w:hAnsi="仿宋_GB2312" w:eastAsia="仿宋_GB2312" w:cs="仿宋_GB2312"/>
                <w:b/>
                <w:bCs/>
                <w:strike w:val="0"/>
                <w:dstrike w:val="0"/>
                <w:sz w:val="18"/>
                <w:szCs w:val="18"/>
                <w:u w:val="none"/>
                <w:lang w:eastAsia="zh-CN"/>
              </w:rPr>
              <w:t>附件</w:t>
            </w:r>
            <w:r>
              <w:rPr>
                <w:rFonts w:hint="eastAsia" w:ascii="仿宋_GB2312" w:hAnsi="仿宋_GB2312" w:eastAsia="仿宋_GB2312" w:cs="仿宋_GB2312"/>
                <w:b/>
                <w:bCs/>
                <w:strike w:val="0"/>
                <w:dstrike w:val="0"/>
                <w:sz w:val="18"/>
                <w:szCs w:val="18"/>
                <w:u w:val="none"/>
                <w:lang w:val="en-US" w:eastAsia="zh-CN"/>
              </w:rPr>
              <w:t>3 专精特新“小巨人”企业认定标准</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49EAD32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spacing w:val="0"/>
                <w:kern w:val="2"/>
                <w:sz w:val="21"/>
                <w:szCs w:val="21"/>
                <w:shd w:val="clear" w:color="auto" w:fill="auto"/>
                <w:lang w:eastAsia="zh-CN"/>
              </w:rPr>
            </w:pP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5F22C1B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b/>
                <w:bCs/>
                <w:strike w:val="0"/>
                <w:dstrike w:val="0"/>
                <w:sz w:val="18"/>
                <w:szCs w:val="18"/>
                <w:u w:val="none"/>
                <w:lang w:eastAsia="zh-CN"/>
              </w:rPr>
              <w:t>附件</w:t>
            </w:r>
            <w:ins w:id="2" w:author="周明" w:date="2026-04-09T09:16:00Z">
              <w:r>
                <w:rPr>
                  <w:rFonts w:hint="eastAsia" w:ascii="仿宋_GB2312" w:hAnsi="仿宋_GB2312" w:eastAsia="仿宋_GB2312" w:cs="仿宋_GB2312"/>
                  <w:b/>
                  <w:bCs/>
                  <w:strike w:val="0"/>
                  <w:dstrike w:val="0"/>
                  <w:sz w:val="18"/>
                  <w:szCs w:val="18"/>
                  <w:u w:val="none"/>
                  <w:lang w:val="en-US" w:eastAsia="zh-CN"/>
                </w:rPr>
                <w:t>2-2</w:t>
              </w:r>
            </w:ins>
            <w:del w:id="3" w:author="周明" w:date="2026-04-09T09:16:00Z">
              <w:r>
                <w:rPr>
                  <w:rFonts w:hint="eastAsia" w:ascii="仿宋_GB2312" w:hAnsi="仿宋_GB2312" w:eastAsia="仿宋_GB2312" w:cs="仿宋_GB2312"/>
                  <w:b/>
                  <w:bCs/>
                  <w:strike w:val="0"/>
                  <w:dstrike w:val="0"/>
                  <w:sz w:val="18"/>
                  <w:szCs w:val="18"/>
                  <w:u w:val="none"/>
                  <w:lang w:val="en-US" w:eastAsia="zh-CN"/>
                </w:rPr>
                <w:delText>3</w:delText>
              </w:r>
            </w:del>
            <w:r>
              <w:rPr>
                <w:rFonts w:hint="eastAsia" w:ascii="仿宋_GB2312" w:hAnsi="仿宋_GB2312" w:eastAsia="仿宋_GB2312" w:cs="仿宋_GB2312"/>
                <w:b/>
                <w:bCs/>
                <w:strike w:val="0"/>
                <w:dstrike w:val="0"/>
                <w:sz w:val="18"/>
                <w:szCs w:val="18"/>
                <w:u w:val="none"/>
                <w:lang w:val="en-US" w:eastAsia="zh-CN"/>
              </w:rPr>
              <w:t xml:space="preserve"> 专精特新“小巨人”企业认定标准</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076AB391">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strike w:val="0"/>
                <w:dstrike w:val="0"/>
                <w:color w:val="auto"/>
                <w:sz w:val="21"/>
                <w:szCs w:val="21"/>
                <w:u w:val="none"/>
                <w:lang w:val="en-US" w:eastAsia="zh-CN"/>
              </w:rPr>
            </w:pPr>
          </w:p>
        </w:tc>
      </w:tr>
      <w:tr w14:paraId="1D041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1152" w:type="dxa"/>
            <w:tcBorders>
              <w:top w:val="single" w:color="000000" w:sz="4" w:space="0"/>
              <w:left w:val="single" w:color="auto" w:sz="4" w:space="0"/>
              <w:bottom w:val="single" w:color="000000" w:sz="4" w:space="0"/>
              <w:right w:val="single" w:color="000000" w:sz="4" w:space="0"/>
            </w:tcBorders>
            <w:noWrap w:val="0"/>
            <w:vAlign w:val="center"/>
          </w:tcPr>
          <w:p w14:paraId="52526C3D">
            <w:pPr>
              <w:spacing w:line="240" w:lineRule="auto"/>
              <w:jc w:val="center"/>
              <w:rPr>
                <w:rFonts w:hint="eastAsia" w:ascii="仿宋_GB2312" w:hAnsi="仿宋_GB2312" w:eastAsia="仿宋_GB2312" w:cs="仿宋_GB2312"/>
                <w:b w:val="0"/>
                <w:bCs w:val="0"/>
                <w:strike w:val="0"/>
                <w:dstrike w:val="0"/>
                <w:sz w:val="21"/>
                <w:szCs w:val="21"/>
                <w:u w:val="none"/>
                <w:lang w:eastAsia="zh-CN"/>
              </w:rPr>
            </w:pPr>
          </w:p>
        </w:tc>
        <w:tc>
          <w:tcPr>
            <w:tcW w:w="4119" w:type="dxa"/>
            <w:gridSpan w:val="2"/>
            <w:tcBorders>
              <w:top w:val="single" w:color="000000" w:sz="4" w:space="0"/>
              <w:left w:val="single" w:color="000000" w:sz="4" w:space="0"/>
              <w:bottom w:val="single" w:color="000000" w:sz="4" w:space="0"/>
              <w:right w:val="single" w:color="000000" w:sz="4" w:space="0"/>
            </w:tcBorders>
            <w:noWrap w:val="0"/>
            <w:vAlign w:val="center"/>
          </w:tcPr>
          <w:p w14:paraId="5693578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专精特新“小巨人”企业认定需同时满足专、精、特、新、链、品六个方面指标。</w:t>
            </w:r>
          </w:p>
          <w:p w14:paraId="063D006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一、专业化指标</w:t>
            </w:r>
          </w:p>
          <w:p w14:paraId="4A5EBDC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坚持专业化发展道路，长期专注并深耕于产业链某一环节或某一产品。截至上年末，企业从事特定细分市场时间达到3年以上，主营业务收入总额占营业收入总额比重不低于70%，近2年主营业务收入平均增长率不低于5%。</w:t>
            </w:r>
          </w:p>
          <w:p w14:paraId="68FDC84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二、精细化指标</w:t>
            </w:r>
          </w:p>
          <w:p w14:paraId="237C3A0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重视并实施长期发展战略，公司治理规范、信誉良好、社会责任感强，生产技术、工艺及产品质量性能国内领先，注重数字化、绿色化发展，在研发设计、生产制造、供应链管理等环节，至少1项核心业务采用信息系统支撑。取得相关管理体系认证，或产品通过发达国家和地区产品认证（国际标准协会行业认证）。截至上年末，企业资产负债率不高于70%。</w:t>
            </w:r>
          </w:p>
          <w:p w14:paraId="27C5899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20"/>
                <w:szCs w:val="20"/>
                <w:u w:val="none"/>
                <w:lang w:eastAsia="zh-CN"/>
              </w:rPr>
            </w:pPr>
            <w:r>
              <w:rPr>
                <w:rFonts w:hint="eastAsia" w:ascii="仿宋_GB2312" w:hAnsi="仿宋_GB2312" w:eastAsia="仿宋_GB2312" w:cs="仿宋_GB2312"/>
                <w:b w:val="0"/>
                <w:bCs w:val="0"/>
                <w:strike w:val="0"/>
                <w:dstrike w:val="0"/>
                <w:sz w:val="20"/>
                <w:szCs w:val="20"/>
                <w:u w:val="none"/>
                <w:lang w:eastAsia="zh-CN"/>
              </w:rPr>
              <w:t>三、特色化指标</w:t>
            </w:r>
          </w:p>
          <w:p w14:paraId="2913435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16"/>
                <w:szCs w:val="16"/>
                <w:u w:val="none"/>
                <w:lang w:eastAsia="zh-CN"/>
              </w:rPr>
            </w:pPr>
            <w:r>
              <w:rPr>
                <w:rFonts w:hint="eastAsia" w:ascii="仿宋_GB2312" w:hAnsi="仿宋_GB2312" w:eastAsia="仿宋_GB2312" w:cs="仿宋_GB2312"/>
                <w:b w:val="0"/>
                <w:bCs w:val="0"/>
                <w:strike w:val="0"/>
                <w:dstrike w:val="0"/>
                <w:sz w:val="20"/>
                <w:szCs w:val="20"/>
                <w:u w:val="none"/>
                <w:lang w:eastAsia="zh-CN"/>
              </w:rPr>
              <w:t>技术和产品有自身独特优势，主导产品在全国细分市场占有率达到 10%以上，且享有较高知名度和影响力。拥有直接面向市场并具有竞争</w:t>
            </w:r>
            <w:r>
              <w:rPr>
                <w:rFonts w:hint="eastAsia" w:ascii="仿宋_GB2312" w:hAnsi="仿宋_GB2312" w:eastAsia="仿宋_GB2312" w:cs="仿宋_GB2312"/>
                <w:b w:val="0"/>
                <w:bCs w:val="0"/>
                <w:strike w:val="0"/>
                <w:dstrike w:val="0"/>
                <w:sz w:val="16"/>
                <w:szCs w:val="16"/>
                <w:u w:val="none"/>
                <w:lang w:eastAsia="zh-CN"/>
              </w:rPr>
              <w:t>优势的自主品牌。</w:t>
            </w:r>
          </w:p>
          <w:p w14:paraId="40526F2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16"/>
                <w:szCs w:val="16"/>
                <w:u w:val="none"/>
                <w:lang w:eastAsia="zh-CN"/>
              </w:rPr>
            </w:pPr>
            <w:r>
              <w:rPr>
                <w:rFonts w:hint="eastAsia" w:ascii="仿宋_GB2312" w:hAnsi="仿宋_GB2312" w:eastAsia="仿宋_GB2312" w:cs="仿宋_GB2312"/>
                <w:b w:val="0"/>
                <w:bCs w:val="0"/>
                <w:strike w:val="0"/>
                <w:dstrike w:val="0"/>
                <w:sz w:val="16"/>
                <w:szCs w:val="16"/>
                <w:u w:val="none"/>
                <w:lang w:eastAsia="zh-CN"/>
              </w:rPr>
              <w:t>四、创新能力指标</w:t>
            </w:r>
          </w:p>
          <w:p w14:paraId="33AAFE3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16"/>
                <w:szCs w:val="16"/>
                <w:u w:val="none"/>
                <w:lang w:eastAsia="zh-CN"/>
              </w:rPr>
            </w:pPr>
            <w:r>
              <w:rPr>
                <w:rFonts w:hint="eastAsia" w:ascii="仿宋_GB2312" w:hAnsi="仿宋_GB2312" w:eastAsia="仿宋_GB2312" w:cs="仿宋_GB2312"/>
                <w:b w:val="0"/>
                <w:bCs w:val="0"/>
                <w:strike w:val="0"/>
                <w:dstrike w:val="0"/>
                <w:sz w:val="16"/>
                <w:szCs w:val="16"/>
                <w:u w:val="none"/>
                <w:lang w:eastAsia="zh-CN"/>
              </w:rPr>
              <w:t>满足一般性条件或创新直通条件。</w:t>
            </w:r>
          </w:p>
          <w:p w14:paraId="1B67B82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15"/>
                <w:szCs w:val="15"/>
                <w:u w:val="none"/>
                <w:lang w:eastAsia="zh-CN"/>
                <w:rPrChange w:id="4" w:author="周明" w:date="2026-04-09T09:18:00Z">
                  <w:rPr>
                    <w:rFonts w:hint="eastAsia" w:ascii="仿宋_GB2312" w:hAnsi="仿宋_GB2312" w:eastAsia="仿宋_GB2312" w:cs="仿宋_GB2312"/>
                    <w:b w:val="0"/>
                    <w:bCs w:val="0"/>
                    <w:strike w:val="0"/>
                    <w:dstrike w:val="0"/>
                    <w:sz w:val="16"/>
                    <w:szCs w:val="16"/>
                    <w:u w:val="none"/>
                    <w:lang w:eastAsia="zh-CN"/>
                  </w:rPr>
                </w:rPrChange>
              </w:rPr>
            </w:pPr>
            <w:r>
              <w:rPr>
                <w:rFonts w:hint="eastAsia" w:ascii="仿宋_GB2312" w:hAnsi="仿宋_GB2312" w:eastAsia="仿宋_GB2312" w:cs="仿宋_GB2312"/>
                <w:b w:val="0"/>
                <w:bCs w:val="0"/>
                <w:strike w:val="0"/>
                <w:dstrike w:val="0"/>
                <w:sz w:val="15"/>
                <w:szCs w:val="15"/>
                <w:u w:val="none"/>
                <w:lang w:eastAsia="zh-CN"/>
                <w:rPrChange w:id="5" w:author="周明" w:date="2026-04-09T09:18:00Z">
                  <w:rPr>
                    <w:rFonts w:hint="eastAsia" w:ascii="仿宋_GB2312" w:hAnsi="仿宋_GB2312" w:eastAsia="仿宋_GB2312" w:cs="仿宋_GB2312"/>
                    <w:b w:val="0"/>
                    <w:bCs w:val="0"/>
                    <w:strike w:val="0"/>
                    <w:dstrike w:val="0"/>
                    <w:sz w:val="16"/>
                    <w:szCs w:val="16"/>
                    <w:u w:val="none"/>
                    <w:lang w:eastAsia="zh-CN"/>
                  </w:rPr>
                </w:rPrChange>
              </w:rPr>
              <w:t>（一）一般性条件。需同时满足以下三项：</w:t>
            </w:r>
          </w:p>
          <w:p w14:paraId="151AA7A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15"/>
                <w:szCs w:val="15"/>
                <w:u w:val="none"/>
                <w:lang w:eastAsia="zh-CN"/>
                <w:rPrChange w:id="6" w:author="周明" w:date="2026-04-09T09:18:00Z">
                  <w:rPr>
                    <w:rFonts w:hint="eastAsia" w:ascii="仿宋_GB2312" w:hAnsi="仿宋_GB2312" w:eastAsia="仿宋_GB2312" w:cs="仿宋_GB2312"/>
                    <w:b w:val="0"/>
                    <w:bCs w:val="0"/>
                    <w:strike w:val="0"/>
                    <w:dstrike w:val="0"/>
                    <w:sz w:val="16"/>
                    <w:szCs w:val="16"/>
                    <w:u w:val="none"/>
                    <w:lang w:eastAsia="zh-CN"/>
                  </w:rPr>
                </w:rPrChange>
              </w:rPr>
            </w:pPr>
            <w:r>
              <w:rPr>
                <w:rFonts w:hint="eastAsia" w:ascii="仿宋_GB2312" w:hAnsi="仿宋_GB2312" w:eastAsia="仿宋_GB2312" w:cs="仿宋_GB2312"/>
                <w:b w:val="0"/>
                <w:bCs w:val="0"/>
                <w:strike w:val="0"/>
                <w:dstrike w:val="0"/>
                <w:sz w:val="15"/>
                <w:szCs w:val="15"/>
                <w:u w:val="none"/>
                <w:lang w:eastAsia="zh-CN"/>
                <w:rPrChange w:id="7" w:author="周明" w:date="2026-04-09T09:18:00Z">
                  <w:rPr>
                    <w:rFonts w:hint="eastAsia" w:ascii="仿宋_GB2312" w:hAnsi="仿宋_GB2312" w:eastAsia="仿宋_GB2312" w:cs="仿宋_GB2312"/>
                    <w:b w:val="0"/>
                    <w:bCs w:val="0"/>
                    <w:strike w:val="0"/>
                    <w:dstrike w:val="0"/>
                    <w:sz w:val="16"/>
                    <w:szCs w:val="16"/>
                    <w:u w:val="none"/>
                    <w:lang w:eastAsia="zh-CN"/>
                  </w:rPr>
                </w:rPrChange>
              </w:rPr>
              <w:t>1.上年度营业收入总额在1亿元以上的企业，近2年研发费用总额占营业收入总额比重均不低于3%；上年度营业收入总额在5000万元—1亿元的企业，近2年研发费用总额占营业收入总额比重均不低于6%；上年度营业收入总额在5000万元以下的企业，同时满足近2年新增股权融资总额（合格机构投资者的实缴额）8000万元以上，且研发费用总额3000 万元以上、研发人员占企业职工总数比重50%以上。</w:t>
            </w:r>
          </w:p>
          <w:p w14:paraId="2CF4E13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15"/>
                <w:szCs w:val="15"/>
                <w:u w:val="none"/>
                <w:lang w:eastAsia="zh-CN"/>
                <w:rPrChange w:id="8" w:author="周明" w:date="2026-04-09T09:18:00Z">
                  <w:rPr>
                    <w:rFonts w:hint="eastAsia" w:ascii="仿宋_GB2312" w:hAnsi="仿宋_GB2312" w:eastAsia="仿宋_GB2312" w:cs="仿宋_GB2312"/>
                    <w:b w:val="0"/>
                    <w:bCs w:val="0"/>
                    <w:strike w:val="0"/>
                    <w:dstrike w:val="0"/>
                    <w:sz w:val="16"/>
                    <w:szCs w:val="16"/>
                    <w:u w:val="none"/>
                    <w:lang w:eastAsia="zh-CN"/>
                  </w:rPr>
                </w:rPrChange>
              </w:rPr>
            </w:pPr>
            <w:r>
              <w:rPr>
                <w:rFonts w:hint="eastAsia" w:ascii="仿宋_GB2312" w:hAnsi="仿宋_GB2312" w:eastAsia="仿宋_GB2312" w:cs="仿宋_GB2312"/>
                <w:b w:val="0"/>
                <w:bCs w:val="0"/>
                <w:strike w:val="0"/>
                <w:dstrike w:val="0"/>
                <w:sz w:val="15"/>
                <w:szCs w:val="15"/>
                <w:u w:val="none"/>
                <w:lang w:eastAsia="zh-CN"/>
                <w:rPrChange w:id="9" w:author="周明" w:date="2026-04-09T09:18:00Z">
                  <w:rPr>
                    <w:rFonts w:hint="eastAsia" w:ascii="仿宋_GB2312" w:hAnsi="仿宋_GB2312" w:eastAsia="仿宋_GB2312" w:cs="仿宋_GB2312"/>
                    <w:b w:val="0"/>
                    <w:bCs w:val="0"/>
                    <w:strike w:val="0"/>
                    <w:dstrike w:val="0"/>
                    <w:sz w:val="16"/>
                    <w:szCs w:val="16"/>
                    <w:u w:val="none"/>
                    <w:lang w:eastAsia="zh-CN"/>
                  </w:rPr>
                </w:rPrChange>
              </w:rPr>
              <w:t>2.自建或与高等院校、科研机构联合建立研发机构，设立技术研究院、企业技术中心、企业工程中心、院士专家工作站、博士后工作站等。</w:t>
            </w:r>
          </w:p>
          <w:p w14:paraId="630D9CE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15"/>
                <w:szCs w:val="15"/>
                <w:u w:val="none"/>
                <w:lang w:eastAsia="zh-CN"/>
                <w:rPrChange w:id="10" w:author="周明" w:date="2026-04-09T09:18:00Z">
                  <w:rPr>
                    <w:rFonts w:hint="eastAsia" w:ascii="仿宋_GB2312" w:hAnsi="仿宋_GB2312" w:eastAsia="仿宋_GB2312" w:cs="仿宋_GB2312"/>
                    <w:b w:val="0"/>
                    <w:bCs w:val="0"/>
                    <w:strike w:val="0"/>
                    <w:dstrike w:val="0"/>
                    <w:sz w:val="16"/>
                    <w:szCs w:val="16"/>
                    <w:u w:val="none"/>
                    <w:lang w:eastAsia="zh-CN"/>
                  </w:rPr>
                </w:rPrChange>
              </w:rPr>
            </w:pPr>
            <w:r>
              <w:rPr>
                <w:rFonts w:hint="eastAsia" w:ascii="仿宋_GB2312" w:hAnsi="仿宋_GB2312" w:eastAsia="仿宋_GB2312" w:cs="仿宋_GB2312"/>
                <w:b w:val="0"/>
                <w:bCs w:val="0"/>
                <w:strike w:val="0"/>
                <w:dstrike w:val="0"/>
                <w:sz w:val="15"/>
                <w:szCs w:val="15"/>
                <w:u w:val="none"/>
                <w:lang w:eastAsia="zh-CN"/>
                <w:rPrChange w:id="11" w:author="周明" w:date="2026-04-09T09:18:00Z">
                  <w:rPr>
                    <w:rFonts w:hint="eastAsia" w:ascii="仿宋_GB2312" w:hAnsi="仿宋_GB2312" w:eastAsia="仿宋_GB2312" w:cs="仿宋_GB2312"/>
                    <w:b w:val="0"/>
                    <w:bCs w:val="0"/>
                    <w:strike w:val="0"/>
                    <w:dstrike w:val="0"/>
                    <w:sz w:val="16"/>
                    <w:szCs w:val="16"/>
                    <w:u w:val="none"/>
                    <w:lang w:eastAsia="zh-CN"/>
                  </w:rPr>
                </w:rPrChange>
              </w:rPr>
              <w:t>3.拥有2项以上与主导产品相关的Ⅰ类知识产权，且实际应用并已产生经济效益。</w:t>
            </w:r>
          </w:p>
          <w:p w14:paraId="1A65914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15"/>
                <w:szCs w:val="15"/>
                <w:u w:val="none"/>
                <w:lang w:eastAsia="zh-CN"/>
                <w:rPrChange w:id="12" w:author="周明" w:date="2026-04-09T09:18:00Z">
                  <w:rPr>
                    <w:rFonts w:hint="eastAsia" w:ascii="仿宋_GB2312" w:hAnsi="仿宋_GB2312" w:eastAsia="仿宋_GB2312" w:cs="仿宋_GB2312"/>
                    <w:b w:val="0"/>
                    <w:bCs w:val="0"/>
                    <w:strike w:val="0"/>
                    <w:dstrike w:val="0"/>
                    <w:sz w:val="16"/>
                    <w:szCs w:val="16"/>
                    <w:u w:val="none"/>
                    <w:lang w:eastAsia="zh-CN"/>
                  </w:rPr>
                </w:rPrChange>
              </w:rPr>
            </w:pPr>
            <w:r>
              <w:rPr>
                <w:rFonts w:hint="eastAsia" w:ascii="仿宋_GB2312" w:hAnsi="仿宋_GB2312" w:eastAsia="仿宋_GB2312" w:cs="仿宋_GB2312"/>
                <w:b w:val="0"/>
                <w:bCs w:val="0"/>
                <w:strike w:val="0"/>
                <w:dstrike w:val="0"/>
                <w:sz w:val="15"/>
                <w:szCs w:val="15"/>
                <w:u w:val="none"/>
                <w:lang w:eastAsia="zh-CN"/>
                <w:rPrChange w:id="13" w:author="周明" w:date="2026-04-09T09:18:00Z">
                  <w:rPr>
                    <w:rFonts w:hint="eastAsia" w:ascii="仿宋_GB2312" w:hAnsi="仿宋_GB2312" w:eastAsia="仿宋_GB2312" w:cs="仿宋_GB2312"/>
                    <w:b w:val="0"/>
                    <w:bCs w:val="0"/>
                    <w:strike w:val="0"/>
                    <w:dstrike w:val="0"/>
                    <w:sz w:val="16"/>
                    <w:szCs w:val="16"/>
                    <w:u w:val="none"/>
                    <w:lang w:eastAsia="zh-CN"/>
                  </w:rPr>
                </w:rPrChange>
              </w:rPr>
              <w:t>（二）创新直通条件。满足以下一项即可：</w:t>
            </w:r>
          </w:p>
          <w:p w14:paraId="473B3FA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15"/>
                <w:szCs w:val="15"/>
                <w:u w:val="none"/>
                <w:lang w:eastAsia="zh-CN"/>
                <w:rPrChange w:id="14" w:author="周明" w:date="2026-04-09T09:18:00Z">
                  <w:rPr>
                    <w:rFonts w:hint="eastAsia" w:ascii="仿宋_GB2312" w:hAnsi="仿宋_GB2312" w:eastAsia="仿宋_GB2312" w:cs="仿宋_GB2312"/>
                    <w:b w:val="0"/>
                    <w:bCs w:val="0"/>
                    <w:strike w:val="0"/>
                    <w:dstrike w:val="0"/>
                    <w:sz w:val="16"/>
                    <w:szCs w:val="16"/>
                    <w:u w:val="none"/>
                    <w:lang w:eastAsia="zh-CN"/>
                  </w:rPr>
                </w:rPrChange>
              </w:rPr>
            </w:pPr>
            <w:r>
              <w:rPr>
                <w:rFonts w:hint="eastAsia" w:ascii="仿宋_GB2312" w:hAnsi="仿宋_GB2312" w:eastAsia="仿宋_GB2312" w:cs="仿宋_GB2312"/>
                <w:b w:val="0"/>
                <w:bCs w:val="0"/>
                <w:strike w:val="0"/>
                <w:dstrike w:val="0"/>
                <w:sz w:val="15"/>
                <w:szCs w:val="15"/>
                <w:u w:val="none"/>
                <w:lang w:eastAsia="zh-CN"/>
                <w:rPrChange w:id="15" w:author="周明" w:date="2026-04-09T09:18:00Z">
                  <w:rPr>
                    <w:rFonts w:hint="eastAsia" w:ascii="仿宋_GB2312" w:hAnsi="仿宋_GB2312" w:eastAsia="仿宋_GB2312" w:cs="仿宋_GB2312"/>
                    <w:b w:val="0"/>
                    <w:bCs w:val="0"/>
                    <w:strike w:val="0"/>
                    <w:dstrike w:val="0"/>
                    <w:sz w:val="16"/>
                    <w:szCs w:val="16"/>
                    <w:u w:val="none"/>
                    <w:lang w:eastAsia="zh-CN"/>
                  </w:rPr>
                </w:rPrChange>
              </w:rPr>
              <w:t>1.近三年获得国家级科技奖励，并在获奖单位中排名前三。</w:t>
            </w:r>
          </w:p>
          <w:p w14:paraId="3533521A">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15"/>
                <w:szCs w:val="15"/>
                <w:u w:val="none"/>
                <w:lang w:eastAsia="zh-CN"/>
                <w:rPrChange w:id="16" w:author="周明" w:date="2026-04-09T09:18:00Z">
                  <w:rPr>
                    <w:rFonts w:hint="eastAsia" w:ascii="仿宋_GB2312" w:hAnsi="仿宋_GB2312" w:eastAsia="仿宋_GB2312" w:cs="仿宋_GB2312"/>
                    <w:b w:val="0"/>
                    <w:bCs w:val="0"/>
                    <w:strike w:val="0"/>
                    <w:dstrike w:val="0"/>
                    <w:sz w:val="16"/>
                    <w:szCs w:val="16"/>
                    <w:u w:val="none"/>
                    <w:lang w:eastAsia="zh-CN"/>
                  </w:rPr>
                </w:rPrChange>
              </w:rPr>
            </w:pPr>
            <w:r>
              <w:rPr>
                <w:rFonts w:hint="eastAsia" w:ascii="仿宋_GB2312" w:hAnsi="仿宋_GB2312" w:eastAsia="仿宋_GB2312" w:cs="仿宋_GB2312"/>
                <w:b w:val="0"/>
                <w:bCs w:val="0"/>
                <w:strike w:val="0"/>
                <w:dstrike w:val="0"/>
                <w:sz w:val="15"/>
                <w:szCs w:val="15"/>
                <w:u w:val="none"/>
                <w:lang w:eastAsia="zh-CN"/>
                <w:rPrChange w:id="17" w:author="周明" w:date="2026-04-09T09:18:00Z">
                  <w:rPr>
                    <w:rFonts w:hint="eastAsia" w:ascii="仿宋_GB2312" w:hAnsi="仿宋_GB2312" w:eastAsia="仿宋_GB2312" w:cs="仿宋_GB2312"/>
                    <w:b w:val="0"/>
                    <w:bCs w:val="0"/>
                    <w:strike w:val="0"/>
                    <w:dstrike w:val="0"/>
                    <w:sz w:val="16"/>
                    <w:szCs w:val="16"/>
                    <w:u w:val="none"/>
                    <w:lang w:eastAsia="zh-CN"/>
                  </w:rPr>
                </w:rPrChange>
              </w:rPr>
              <w:t>2.近三年进入“创客中国”中小企业创新创业大赛全国50强企业组名单。</w:t>
            </w:r>
          </w:p>
          <w:p w14:paraId="6D57B445">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15"/>
                <w:szCs w:val="15"/>
                <w:u w:val="none"/>
                <w:lang w:eastAsia="zh-CN"/>
                <w:rPrChange w:id="18" w:author="周明" w:date="2026-04-09T09:18:00Z">
                  <w:rPr>
                    <w:rFonts w:hint="eastAsia" w:ascii="仿宋_GB2312" w:hAnsi="仿宋_GB2312" w:eastAsia="仿宋_GB2312" w:cs="仿宋_GB2312"/>
                    <w:b w:val="0"/>
                    <w:bCs w:val="0"/>
                    <w:strike w:val="0"/>
                    <w:dstrike w:val="0"/>
                    <w:sz w:val="16"/>
                    <w:szCs w:val="16"/>
                    <w:u w:val="none"/>
                    <w:lang w:eastAsia="zh-CN"/>
                  </w:rPr>
                </w:rPrChange>
              </w:rPr>
            </w:pPr>
            <w:r>
              <w:rPr>
                <w:rFonts w:hint="eastAsia" w:ascii="仿宋_GB2312" w:hAnsi="仿宋_GB2312" w:eastAsia="仿宋_GB2312" w:cs="仿宋_GB2312"/>
                <w:b w:val="0"/>
                <w:bCs w:val="0"/>
                <w:strike w:val="0"/>
                <w:dstrike w:val="0"/>
                <w:sz w:val="15"/>
                <w:szCs w:val="15"/>
                <w:u w:val="none"/>
                <w:lang w:eastAsia="zh-CN"/>
                <w:rPrChange w:id="19" w:author="周明" w:date="2026-04-09T09:18:00Z">
                  <w:rPr>
                    <w:rFonts w:hint="eastAsia" w:ascii="仿宋_GB2312" w:hAnsi="仿宋_GB2312" w:eastAsia="仿宋_GB2312" w:cs="仿宋_GB2312"/>
                    <w:b w:val="0"/>
                    <w:bCs w:val="0"/>
                    <w:strike w:val="0"/>
                    <w:dstrike w:val="0"/>
                    <w:sz w:val="16"/>
                    <w:szCs w:val="16"/>
                    <w:u w:val="none"/>
                    <w:lang w:eastAsia="zh-CN"/>
                  </w:rPr>
                </w:rPrChange>
              </w:rPr>
              <w:t>五、产业链配套指标</w:t>
            </w:r>
          </w:p>
          <w:p w14:paraId="3D7F52A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15"/>
                <w:szCs w:val="15"/>
                <w:u w:val="none"/>
                <w:lang w:eastAsia="zh-CN"/>
                <w:rPrChange w:id="20" w:author="周明" w:date="2026-04-09T09:18:00Z">
                  <w:rPr>
                    <w:rFonts w:hint="eastAsia" w:ascii="仿宋_GB2312" w:hAnsi="仿宋_GB2312" w:eastAsia="仿宋_GB2312" w:cs="仿宋_GB2312"/>
                    <w:b w:val="0"/>
                    <w:bCs w:val="0"/>
                    <w:strike w:val="0"/>
                    <w:dstrike w:val="0"/>
                    <w:sz w:val="16"/>
                    <w:szCs w:val="16"/>
                    <w:u w:val="none"/>
                    <w:lang w:eastAsia="zh-CN"/>
                  </w:rPr>
                </w:rPrChange>
              </w:rPr>
            </w:pPr>
            <w:r>
              <w:rPr>
                <w:rFonts w:hint="eastAsia" w:ascii="仿宋_GB2312" w:hAnsi="仿宋_GB2312" w:eastAsia="仿宋_GB2312" w:cs="仿宋_GB2312"/>
                <w:b w:val="0"/>
                <w:bCs w:val="0"/>
                <w:strike w:val="0"/>
                <w:dstrike w:val="0"/>
                <w:sz w:val="15"/>
                <w:szCs w:val="15"/>
                <w:u w:val="none"/>
                <w:lang w:eastAsia="zh-CN"/>
                <w:rPrChange w:id="21" w:author="周明" w:date="2026-04-09T09:18:00Z">
                  <w:rPr>
                    <w:rFonts w:hint="eastAsia" w:ascii="仿宋_GB2312" w:hAnsi="仿宋_GB2312" w:eastAsia="仿宋_GB2312" w:cs="仿宋_GB2312"/>
                    <w:b w:val="0"/>
                    <w:bCs w:val="0"/>
                    <w:strike w:val="0"/>
                    <w:dstrike w:val="0"/>
                    <w:sz w:val="16"/>
                    <w:szCs w:val="16"/>
                    <w:u w:val="none"/>
                    <w:lang w:eastAsia="zh-CN"/>
                  </w:rPr>
                </w:rPrChange>
              </w:rPr>
              <w:t>位于产业链关键环节，围绕重点产业链实现关键基础技术和产品的产业化应用，发挥“补短板”“锻长板”“填空白”等重要作用。</w:t>
            </w:r>
          </w:p>
          <w:p w14:paraId="5628490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val="0"/>
                <w:bCs w:val="0"/>
                <w:strike w:val="0"/>
                <w:dstrike w:val="0"/>
                <w:sz w:val="15"/>
                <w:szCs w:val="15"/>
                <w:u w:val="none"/>
                <w:lang w:eastAsia="zh-CN"/>
                <w:rPrChange w:id="22" w:author="周明" w:date="2026-04-09T09:18:00Z">
                  <w:rPr>
                    <w:rFonts w:hint="eastAsia" w:ascii="仿宋_GB2312" w:hAnsi="仿宋_GB2312" w:eastAsia="仿宋_GB2312" w:cs="仿宋_GB2312"/>
                    <w:b w:val="0"/>
                    <w:bCs w:val="0"/>
                    <w:strike w:val="0"/>
                    <w:dstrike w:val="0"/>
                    <w:sz w:val="16"/>
                    <w:szCs w:val="16"/>
                    <w:u w:val="none"/>
                    <w:lang w:eastAsia="zh-CN"/>
                  </w:rPr>
                </w:rPrChange>
              </w:rPr>
            </w:pPr>
            <w:r>
              <w:rPr>
                <w:rFonts w:hint="eastAsia" w:ascii="仿宋_GB2312" w:hAnsi="仿宋_GB2312" w:eastAsia="仿宋_GB2312" w:cs="仿宋_GB2312"/>
                <w:b w:val="0"/>
                <w:bCs w:val="0"/>
                <w:strike w:val="0"/>
                <w:dstrike w:val="0"/>
                <w:sz w:val="15"/>
                <w:szCs w:val="15"/>
                <w:u w:val="none"/>
                <w:lang w:eastAsia="zh-CN"/>
                <w:rPrChange w:id="23" w:author="周明" w:date="2026-04-09T09:18:00Z">
                  <w:rPr>
                    <w:rFonts w:hint="eastAsia" w:ascii="仿宋_GB2312" w:hAnsi="仿宋_GB2312" w:eastAsia="仿宋_GB2312" w:cs="仿宋_GB2312"/>
                    <w:b w:val="0"/>
                    <w:bCs w:val="0"/>
                    <w:strike w:val="0"/>
                    <w:dstrike w:val="0"/>
                    <w:sz w:val="16"/>
                    <w:szCs w:val="16"/>
                    <w:u w:val="none"/>
                    <w:lang w:eastAsia="zh-CN"/>
                  </w:rPr>
                </w:rPrChange>
              </w:rPr>
              <w:t>六、主导产品所属领域指标</w:t>
            </w:r>
          </w:p>
          <w:p w14:paraId="7A42FEF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
                <w:bCs/>
                <w:strike w:val="0"/>
                <w:dstrike w:val="0"/>
                <w:sz w:val="18"/>
                <w:szCs w:val="18"/>
                <w:u w:val="none"/>
                <w:lang w:eastAsia="zh-CN"/>
              </w:rPr>
            </w:pPr>
            <w:r>
              <w:rPr>
                <w:rFonts w:hint="eastAsia" w:ascii="仿宋_GB2312" w:hAnsi="仿宋_GB2312" w:eastAsia="仿宋_GB2312" w:cs="仿宋_GB2312"/>
                <w:b w:val="0"/>
                <w:bCs w:val="0"/>
                <w:strike w:val="0"/>
                <w:dstrike w:val="0"/>
                <w:sz w:val="15"/>
                <w:szCs w:val="15"/>
                <w:u w:val="none"/>
                <w:lang w:eastAsia="zh-CN"/>
                <w:rPrChange w:id="24" w:author="周明" w:date="2026-04-09T09:18:00Z">
                  <w:rPr>
                    <w:rFonts w:hint="eastAsia" w:ascii="仿宋_GB2312" w:hAnsi="仿宋_GB2312" w:eastAsia="仿宋_GB2312" w:cs="仿宋_GB2312"/>
                    <w:b w:val="0"/>
                    <w:bCs w:val="0"/>
                    <w:strike w:val="0"/>
                    <w:dstrike w:val="0"/>
                    <w:sz w:val="16"/>
                    <w:szCs w:val="16"/>
                    <w:u w:val="none"/>
                    <w:lang w:eastAsia="zh-CN"/>
                  </w:rPr>
                </w:rPrChange>
              </w:rPr>
              <w:t>主导产品原则上属于以下重点领域：从事细分产品市场属于制造业核心基础零部件、元器件、关键软件、先进基础工艺、关键基础材料和产业技术基础；或符合制造强国战略十大重点产业领域；或属于网络强国建设的信息基础设施、关键核心技术、网络安全、数据安全领域等产品。</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5EFB6F5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spacing w:val="0"/>
                <w:kern w:val="2"/>
                <w:sz w:val="21"/>
                <w:szCs w:val="21"/>
                <w:shd w:val="clear" w:color="auto" w:fill="auto"/>
                <w:lang w:eastAsia="zh-CN"/>
              </w:rPr>
            </w:pP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3B71578A">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color w:val="auto"/>
                <w:spacing w:val="0"/>
                <w:kern w:val="2"/>
                <w:sz w:val="21"/>
                <w:szCs w:val="21"/>
                <w:shd w:val="clear" w:color="auto" w:fill="auto"/>
                <w:lang w:eastAsia="zh-CN"/>
              </w:rPr>
              <w:t>需同时满足以下七项指标：</w:t>
            </w:r>
          </w:p>
          <w:p w14:paraId="3DC2D3B4">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color w:val="auto"/>
                <w:spacing w:val="0"/>
                <w:kern w:val="2"/>
                <w:sz w:val="21"/>
                <w:szCs w:val="21"/>
                <w:shd w:val="clear" w:color="auto" w:fill="auto"/>
                <w:lang w:eastAsia="zh-CN"/>
              </w:rPr>
              <w:t>（一）已获得专精特新中小企业称号，截至上年末从事特定细分市场时间达3年以上。</w:t>
            </w:r>
          </w:p>
          <w:p w14:paraId="2C3D3112">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color w:val="auto"/>
                <w:spacing w:val="0"/>
                <w:kern w:val="2"/>
                <w:sz w:val="21"/>
                <w:szCs w:val="21"/>
                <w:shd w:val="clear" w:color="auto" w:fill="auto"/>
                <w:lang w:eastAsia="zh-CN"/>
              </w:rPr>
              <w:t>（二）上年度营业收入总额达5000万元以上，主营业务收入总额占营业收入总额比重不低于90%。近两年营业收入复合增长率不低于5%（复核企业不考查该项指标），上年末资产负债率不超过75%。</w:t>
            </w:r>
          </w:p>
          <w:p w14:paraId="74BB3E67">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color w:val="auto"/>
                <w:spacing w:val="0"/>
                <w:kern w:val="2"/>
                <w:sz w:val="21"/>
                <w:szCs w:val="21"/>
                <w:shd w:val="clear" w:color="auto" w:fill="auto"/>
                <w:lang w:eastAsia="zh-CN"/>
              </w:rPr>
              <w:t>（三）近两年研发费用合计不低于1200万元，且每年占营业收入比重均不低于3%。</w:t>
            </w:r>
          </w:p>
          <w:p w14:paraId="4C3C7631">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color w:val="auto"/>
                <w:spacing w:val="0"/>
                <w:kern w:val="2"/>
                <w:sz w:val="21"/>
                <w:szCs w:val="21"/>
                <w:shd w:val="clear" w:color="auto" w:fill="auto"/>
                <w:lang w:eastAsia="zh-CN"/>
              </w:rPr>
              <w:t>（四）拥有4项以上与主导产品相关的Ι类知识产权，且实际应用并已产生经济效益。对近三年获得国家级科技奖励（排名前三）的企业，不考察本项指标。</w:t>
            </w:r>
          </w:p>
          <w:p w14:paraId="0B2D698C">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color w:val="auto"/>
                <w:spacing w:val="0"/>
                <w:kern w:val="2"/>
                <w:sz w:val="21"/>
                <w:szCs w:val="21"/>
                <w:shd w:val="clear" w:color="auto" w:fill="auto"/>
                <w:lang w:eastAsia="zh-CN"/>
              </w:rPr>
              <w:t>（五）主导产品在国内或国际细分市场占有率达到10%以上或国内前三名，且享有较高知名度、影响力。</w:t>
            </w:r>
          </w:p>
          <w:p w14:paraId="53C7AC30">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color w:val="auto"/>
                <w:spacing w:val="0"/>
                <w:kern w:val="2"/>
                <w:sz w:val="21"/>
                <w:szCs w:val="21"/>
                <w:shd w:val="clear" w:color="auto" w:fill="auto"/>
                <w:lang w:eastAsia="zh-CN"/>
              </w:rPr>
              <w:t>（六）主导产品属于制造业核心基础零部件、核心基础元器件、关键软件、先进基础工艺、关键基础材料、产业技术基础，或属于改造提升传统产业、培育壮大新兴产业、布局建设未来产业，位于产业链关键环节，对提升产业链供应链韧性和安全水平发挥重要作用。</w:t>
            </w:r>
          </w:p>
          <w:p w14:paraId="7BF70967">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color w:val="auto"/>
                <w:spacing w:val="0"/>
                <w:kern w:val="2"/>
                <w:sz w:val="21"/>
                <w:szCs w:val="21"/>
                <w:shd w:val="clear" w:color="auto" w:fill="auto"/>
                <w:lang w:eastAsia="zh-CN"/>
              </w:rPr>
            </w:pPr>
            <w:r>
              <w:rPr>
                <w:rFonts w:hint="eastAsia" w:ascii="仿宋_GB2312" w:hAnsi="仿宋_GB2312" w:eastAsia="仿宋_GB2312" w:cs="仿宋_GB2312"/>
                <w:color w:val="auto"/>
                <w:spacing w:val="0"/>
                <w:kern w:val="2"/>
                <w:sz w:val="21"/>
                <w:szCs w:val="21"/>
                <w:shd w:val="clear" w:color="auto" w:fill="auto"/>
                <w:lang w:eastAsia="zh-CN"/>
              </w:rPr>
              <w:t>（七）本年度中小企业专精特新发展评价得分达60分以上（复核企业近两年任意一年达60分以上即可）。指标体系见《中小企业专精特新发展评价指标体系（试行）》。</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14:paraId="121B7EF3">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strike w:val="0"/>
                <w:dstrike w:val="0"/>
                <w:color w:val="auto"/>
                <w:sz w:val="21"/>
                <w:szCs w:val="21"/>
                <w:u w:val="none"/>
                <w:lang w:val="en-US" w:eastAsia="zh-CN"/>
              </w:rPr>
            </w:pPr>
            <w:r>
              <w:rPr>
                <w:rFonts w:hint="eastAsia" w:ascii="仿宋_GB2312" w:hAnsi="仿宋_GB2312" w:eastAsia="仿宋_GB2312" w:cs="仿宋_GB2312"/>
                <w:b w:val="0"/>
                <w:bCs w:val="0"/>
                <w:strike w:val="0"/>
                <w:dstrike w:val="0"/>
                <w:sz w:val="21"/>
                <w:szCs w:val="21"/>
                <w:u w:val="none"/>
                <w:lang w:val="en-US" w:eastAsia="zh-CN"/>
              </w:rPr>
              <w:t>落实全国一把尺要求，与工信部《办法》保持一致。</w:t>
            </w:r>
          </w:p>
        </w:tc>
      </w:tr>
      <w:tr w14:paraId="0024F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Change w:id="26" w:author="周明" w:date="2026-04-09T09:18:0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blPrExChange>
        </w:tblPrEx>
        <w:trPr>
          <w:trHeight w:val="480" w:hRule="atLeast"/>
          <w:jc w:val="center"/>
          <w:ins w:id="25" w:author="周明" w:date="2026-04-09T09:15:00Z"/>
          <w:trPrChange w:id="26" w:author="周明" w:date="2026-04-09T09:18:00Z">
            <w:trPr>
              <w:trHeight w:val="285" w:hRule="atLeast"/>
              <w:jc w:val="center"/>
            </w:trPr>
          </w:trPrChange>
        </w:trPr>
        <w:tc>
          <w:tcPr>
            <w:tcW w:w="1152" w:type="dxa"/>
            <w:tcBorders>
              <w:top w:val="single" w:color="000000" w:sz="4" w:space="0"/>
              <w:left w:val="single" w:color="auto" w:sz="4" w:space="0"/>
              <w:bottom w:val="single" w:color="000000" w:sz="4" w:space="0"/>
              <w:right w:val="single" w:color="000000" w:sz="4" w:space="0"/>
            </w:tcBorders>
            <w:noWrap w:val="0"/>
            <w:vAlign w:val="center"/>
            <w:tcPrChange w:id="27" w:author="周明" w:date="2026-04-09T09:18:00Z">
              <w:tcPr>
                <w:tcW w:w="1152" w:type="dxa"/>
                <w:tcBorders>
                  <w:top w:val="single" w:color="000000" w:sz="4" w:space="0"/>
                  <w:left w:val="single" w:color="auto" w:sz="4" w:space="0"/>
                  <w:bottom w:val="single" w:color="000000" w:sz="4" w:space="0"/>
                  <w:right w:val="single" w:color="000000" w:sz="4" w:space="0"/>
                </w:tcBorders>
                <w:noWrap w:val="0"/>
                <w:vAlign w:val="center"/>
              </w:tcPr>
            </w:tcPrChange>
          </w:tcPr>
          <w:p w14:paraId="2A1C3E42">
            <w:pPr>
              <w:spacing w:line="240" w:lineRule="auto"/>
              <w:jc w:val="center"/>
              <w:rPr>
                <w:ins w:id="28" w:author="周明" w:date="2026-04-09T09:15:00Z"/>
                <w:rFonts w:hint="eastAsia" w:ascii="仿宋_GB2312" w:hAnsi="仿宋_GB2312" w:eastAsia="仿宋_GB2312" w:cs="仿宋_GB2312"/>
                <w:b w:val="0"/>
                <w:bCs w:val="0"/>
                <w:strike w:val="0"/>
                <w:dstrike w:val="0"/>
                <w:sz w:val="21"/>
                <w:szCs w:val="21"/>
                <w:u w:val="none"/>
                <w:lang w:eastAsia="zh-CN"/>
              </w:rPr>
            </w:pPr>
          </w:p>
        </w:tc>
        <w:tc>
          <w:tcPr>
            <w:tcW w:w="4119" w:type="dxa"/>
            <w:gridSpan w:val="2"/>
            <w:tcBorders>
              <w:top w:val="single" w:color="000000" w:sz="4" w:space="0"/>
              <w:left w:val="single" w:color="000000" w:sz="4" w:space="0"/>
              <w:bottom w:val="single" w:color="000000" w:sz="4" w:space="0"/>
              <w:right w:val="single" w:color="000000" w:sz="4" w:space="0"/>
            </w:tcBorders>
            <w:noWrap w:val="0"/>
            <w:vAlign w:val="center"/>
            <w:tcPrChange w:id="29" w:author="周明" w:date="2026-04-09T09:18:00Z">
              <w:tcPr>
                <w:tcW w:w="4119" w:type="dxa"/>
                <w:gridSpan w:val="2"/>
                <w:tcBorders>
                  <w:top w:val="single" w:color="000000" w:sz="4" w:space="0"/>
                  <w:left w:val="single" w:color="000000" w:sz="4" w:space="0"/>
                  <w:bottom w:val="single" w:color="000000" w:sz="4" w:space="0"/>
                  <w:right w:val="single" w:color="000000" w:sz="4" w:space="0"/>
                </w:tcBorders>
                <w:noWrap w:val="0"/>
                <w:vAlign w:val="center"/>
              </w:tcPr>
            </w:tcPrChange>
          </w:tcPr>
          <w:p w14:paraId="6E08E44D">
            <w:pPr>
              <w:keepNext w:val="0"/>
              <w:keepLines w:val="0"/>
              <w:pageBreakBefore w:val="0"/>
              <w:widowControl/>
              <w:kinsoku/>
              <w:wordWrap/>
              <w:overflowPunct/>
              <w:topLinePunct w:val="0"/>
              <w:autoSpaceDE/>
              <w:autoSpaceDN/>
              <w:bidi w:val="0"/>
              <w:adjustRightInd/>
              <w:snapToGrid/>
              <w:spacing w:line="240" w:lineRule="exact"/>
              <w:jc w:val="both"/>
              <w:textAlignment w:val="center"/>
              <w:rPr>
                <w:ins w:id="30" w:author="周明" w:date="2026-04-09T09:15:00Z"/>
                <w:rFonts w:hint="eastAsia" w:ascii="仿宋_GB2312" w:hAnsi="仿宋_GB2312" w:eastAsia="仿宋_GB2312" w:cs="仿宋_GB2312"/>
                <w:b w:val="0"/>
                <w:bCs w:val="0"/>
                <w:strike w:val="0"/>
                <w:dstrike w:val="0"/>
                <w:sz w:val="16"/>
                <w:szCs w:val="16"/>
                <w:u w:val="none"/>
                <w:lang w:eastAsia="zh-CN"/>
              </w:rPr>
            </w:pP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Change w:id="31" w:author="周明" w:date="2026-04-09T09:18:00Z">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tcPrChange>
          </w:tcPr>
          <w:p w14:paraId="6CFD1AC8">
            <w:pPr>
              <w:keepNext w:val="0"/>
              <w:keepLines w:val="0"/>
              <w:pageBreakBefore w:val="0"/>
              <w:widowControl/>
              <w:kinsoku/>
              <w:wordWrap/>
              <w:overflowPunct/>
              <w:topLinePunct w:val="0"/>
              <w:autoSpaceDE/>
              <w:autoSpaceDN/>
              <w:bidi w:val="0"/>
              <w:adjustRightInd/>
              <w:snapToGrid/>
              <w:spacing w:line="300" w:lineRule="exact"/>
              <w:jc w:val="center"/>
              <w:textAlignment w:val="center"/>
              <w:rPr>
                <w:ins w:id="32" w:author="周明" w:date="2026-04-09T09:15:00Z"/>
                <w:rFonts w:hint="eastAsia" w:ascii="仿宋_GB2312" w:hAnsi="仿宋_GB2312" w:eastAsia="仿宋_GB2312" w:cs="仿宋_GB2312"/>
                <w:b/>
                <w:bCs/>
                <w:color w:val="auto"/>
                <w:spacing w:val="0"/>
                <w:kern w:val="2"/>
                <w:sz w:val="18"/>
                <w:szCs w:val="18"/>
                <w:shd w:val="clear" w:color="auto" w:fill="auto"/>
                <w:lang w:eastAsia="zh-CN"/>
                <w:rPrChange w:id="33" w:author="周明" w:date="2026-04-09T09:17:00Z">
                  <w:rPr>
                    <w:ins w:id="34" w:author="周明" w:date="2026-04-09T09:15:00Z"/>
                    <w:rFonts w:hint="eastAsia" w:ascii="仿宋_GB2312" w:hAnsi="仿宋_GB2312" w:eastAsia="仿宋_GB2312" w:cs="仿宋_GB2312"/>
                    <w:color w:val="auto"/>
                    <w:spacing w:val="0"/>
                    <w:kern w:val="2"/>
                    <w:sz w:val="21"/>
                    <w:szCs w:val="21"/>
                    <w:shd w:val="clear" w:color="auto" w:fill="auto"/>
                    <w:lang w:eastAsia="zh-CN"/>
                  </w:rPr>
                </w:rPrChange>
              </w:rPr>
            </w:pPr>
          </w:p>
        </w:tc>
        <w:tc>
          <w:tcPr>
            <w:tcW w:w="3490" w:type="dxa"/>
            <w:tcBorders>
              <w:top w:val="single" w:color="000000" w:sz="4" w:space="0"/>
              <w:left w:val="single" w:color="000000" w:sz="4" w:space="0"/>
              <w:bottom w:val="single" w:color="000000" w:sz="4" w:space="0"/>
              <w:right w:val="single" w:color="000000" w:sz="4" w:space="0"/>
            </w:tcBorders>
            <w:noWrap w:val="0"/>
            <w:vAlign w:val="center"/>
            <w:tcPrChange w:id="35" w:author="周明" w:date="2026-04-09T09:18:00Z">
              <w:tcPr>
                <w:tcW w:w="3490" w:type="dxa"/>
                <w:tcBorders>
                  <w:top w:val="single" w:color="000000" w:sz="4" w:space="0"/>
                  <w:left w:val="single" w:color="000000" w:sz="4" w:space="0"/>
                  <w:bottom w:val="single" w:color="000000" w:sz="4" w:space="0"/>
                  <w:right w:val="single" w:color="000000" w:sz="4" w:space="0"/>
                </w:tcBorders>
                <w:noWrap w:val="0"/>
                <w:vAlign w:val="center"/>
              </w:tcPr>
            </w:tcPrChange>
          </w:tcPr>
          <w:p w14:paraId="2DCC1EA4">
            <w:pPr>
              <w:keepNext w:val="0"/>
              <w:keepLines w:val="0"/>
              <w:pageBreakBefore w:val="0"/>
              <w:widowControl/>
              <w:kinsoku/>
              <w:wordWrap/>
              <w:overflowPunct/>
              <w:topLinePunct w:val="0"/>
              <w:autoSpaceDE/>
              <w:autoSpaceDN/>
              <w:bidi w:val="0"/>
              <w:adjustRightInd/>
              <w:snapToGrid/>
              <w:spacing w:line="300" w:lineRule="exact"/>
              <w:jc w:val="center"/>
              <w:textAlignment w:val="center"/>
              <w:rPr>
                <w:ins w:id="37" w:author="周明" w:date="2026-04-09T09:15:00Z"/>
                <w:rFonts w:hint="eastAsia" w:ascii="仿宋_GB2312" w:hAnsi="仿宋_GB2312" w:eastAsia="仿宋_GB2312" w:cs="仿宋_GB2312"/>
                <w:b/>
                <w:bCs/>
                <w:color w:val="auto"/>
                <w:spacing w:val="0"/>
                <w:kern w:val="2"/>
                <w:sz w:val="18"/>
                <w:szCs w:val="18"/>
                <w:shd w:val="clear" w:color="auto" w:fill="auto"/>
                <w:lang w:val="en-US" w:eastAsia="zh-CN"/>
                <w:rPrChange w:id="38" w:author="周明" w:date="2026-04-09T09:17:00Z">
                  <w:rPr>
                    <w:ins w:id="39" w:author="周明" w:date="2026-04-09T09:15:00Z"/>
                    <w:rFonts w:hint="default" w:ascii="仿宋_GB2312" w:hAnsi="仿宋_GB2312" w:eastAsia="仿宋_GB2312" w:cs="仿宋_GB2312"/>
                    <w:color w:val="auto"/>
                    <w:spacing w:val="0"/>
                    <w:kern w:val="2"/>
                    <w:sz w:val="21"/>
                    <w:szCs w:val="21"/>
                    <w:shd w:val="clear" w:color="auto" w:fill="auto"/>
                    <w:lang w:val="en-US" w:eastAsia="zh-CN"/>
                  </w:rPr>
                </w:rPrChange>
              </w:rPr>
              <w:pPrChange w:id="36" w:author="周明" w:date="2026-04-09T09:17:00Z">
                <w:pPr>
                  <w:keepNext w:val="0"/>
                  <w:keepLines w:val="0"/>
                  <w:pageBreakBefore w:val="0"/>
                  <w:widowControl/>
                  <w:kinsoku/>
                  <w:wordWrap/>
                  <w:overflowPunct/>
                  <w:topLinePunct w:val="0"/>
                  <w:autoSpaceDE/>
                  <w:autoSpaceDN/>
                  <w:bidi w:val="0"/>
                  <w:adjustRightInd/>
                  <w:snapToGrid/>
                  <w:spacing w:line="300" w:lineRule="exact"/>
                  <w:jc w:val="both"/>
                  <w:textAlignment w:val="center"/>
                </w:pPr>
              </w:pPrChange>
            </w:pPr>
            <w:ins w:id="40" w:author="周明" w:date="2026-04-09T09:16:00Z">
              <w:r>
                <w:rPr>
                  <w:rFonts w:hint="eastAsia" w:ascii="仿宋_GB2312" w:hAnsi="仿宋_GB2312" w:eastAsia="仿宋_GB2312" w:cs="仿宋_GB2312"/>
                  <w:b/>
                  <w:bCs/>
                  <w:color w:val="auto"/>
                  <w:spacing w:val="0"/>
                  <w:kern w:val="2"/>
                  <w:sz w:val="18"/>
                  <w:szCs w:val="18"/>
                  <w:shd w:val="clear" w:color="auto" w:fill="auto"/>
                  <w:lang w:val="en-US" w:eastAsia="zh-CN"/>
                  <w:rPrChange w:id="41" w:author="周明" w:date="2026-04-09T09:17:00Z">
                    <w:rPr>
                      <w:rFonts w:hint="eastAsia" w:ascii="仿宋_GB2312" w:hAnsi="仿宋_GB2312" w:eastAsia="仿宋_GB2312" w:cs="仿宋_GB2312"/>
                      <w:color w:val="auto"/>
                      <w:spacing w:val="0"/>
                      <w:kern w:val="2"/>
                      <w:sz w:val="21"/>
                      <w:szCs w:val="21"/>
                      <w:shd w:val="clear" w:color="auto" w:fill="auto"/>
                      <w:lang w:val="en-US" w:eastAsia="zh-CN"/>
                    </w:rPr>
                  </w:rPrChange>
                </w:rPr>
                <w:t>附件</w:t>
              </w:r>
            </w:ins>
            <w:ins w:id="43" w:author="周明" w:date="2026-04-09T09:16:00Z">
              <w:r>
                <w:rPr>
                  <w:rFonts w:hint="eastAsia" w:ascii="仿宋_GB2312" w:hAnsi="仿宋_GB2312" w:eastAsia="仿宋_GB2312" w:cs="仿宋_GB2312"/>
                  <w:b/>
                  <w:bCs/>
                  <w:color w:val="auto"/>
                  <w:spacing w:val="0"/>
                  <w:kern w:val="2"/>
                  <w:sz w:val="18"/>
                  <w:szCs w:val="18"/>
                  <w:shd w:val="clear" w:color="auto" w:fill="auto"/>
                  <w:lang w:val="en-US" w:eastAsia="zh-CN"/>
                  <w:rPrChange w:id="44" w:author="周明" w:date="2026-04-09T09:17:00Z">
                    <w:rPr>
                      <w:rFonts w:hint="eastAsia" w:ascii="仿宋_GB2312" w:hAnsi="仿宋_GB2312" w:eastAsia="仿宋_GB2312" w:cs="仿宋_GB2312"/>
                      <w:color w:val="auto"/>
                      <w:spacing w:val="0"/>
                      <w:kern w:val="2"/>
                      <w:sz w:val="21"/>
                      <w:szCs w:val="21"/>
                      <w:shd w:val="clear" w:color="auto" w:fill="auto"/>
                      <w:lang w:val="en-US" w:eastAsia="zh-CN"/>
                    </w:rPr>
                  </w:rPrChange>
                </w:rPr>
                <w:t>2-3</w:t>
              </w:r>
            </w:ins>
            <w:ins w:id="46" w:author="周明" w:date="2026-04-09T09:16:00Z">
              <w:r>
                <w:rPr>
                  <w:rFonts w:hint="eastAsia" w:ascii="仿宋_GB2312" w:hAnsi="仿宋_GB2312" w:eastAsia="仿宋_GB2312" w:cs="仿宋_GB2312"/>
                  <w:b/>
                  <w:bCs/>
                  <w:color w:val="auto"/>
                  <w:spacing w:val="0"/>
                  <w:kern w:val="2"/>
                  <w:sz w:val="18"/>
                  <w:szCs w:val="18"/>
                  <w:shd w:val="clear" w:color="auto" w:fill="auto"/>
                  <w:lang w:val="en-US" w:eastAsia="zh-CN"/>
                  <w:rPrChange w:id="47" w:author="周明" w:date="2026-04-09T09:17:00Z">
                    <w:rPr>
                      <w:rFonts w:hint="eastAsia" w:ascii="仿宋_GB2312" w:hAnsi="仿宋_GB2312" w:eastAsia="仿宋_GB2312" w:cs="仿宋_GB2312"/>
                      <w:color w:val="auto"/>
                      <w:spacing w:val="0"/>
                      <w:kern w:val="2"/>
                      <w:sz w:val="21"/>
                      <w:szCs w:val="21"/>
                      <w:shd w:val="clear" w:color="auto" w:fill="auto"/>
                      <w:lang w:val="en-US" w:eastAsia="zh-CN"/>
                    </w:rPr>
                  </w:rPrChange>
                </w:rPr>
                <w:t xml:space="preserve"> </w:t>
              </w:r>
            </w:ins>
            <w:ins w:id="49" w:author="周明" w:date="2026-04-09T09:16:00Z">
              <w:r>
                <w:rPr>
                  <w:rFonts w:hint="eastAsia" w:ascii="仿宋_GB2312" w:hAnsi="仿宋_GB2312" w:eastAsia="仿宋_GB2312" w:cs="仿宋_GB2312"/>
                  <w:b/>
                  <w:bCs/>
                  <w:color w:val="auto"/>
                  <w:spacing w:val="0"/>
                  <w:kern w:val="2"/>
                  <w:sz w:val="18"/>
                  <w:szCs w:val="18"/>
                  <w:shd w:val="clear" w:color="auto" w:fill="auto"/>
                  <w:lang w:val="en-US" w:eastAsia="zh-CN"/>
                  <w:rPrChange w:id="50" w:author="周明" w:date="2026-04-09T09:17:00Z">
                    <w:rPr>
                      <w:rFonts w:hint="eastAsia" w:ascii="仿宋_GB2312" w:hAnsi="仿宋_GB2312" w:eastAsia="仿宋_GB2312" w:cs="仿宋_GB2312"/>
                      <w:color w:val="auto"/>
                      <w:spacing w:val="0"/>
                      <w:kern w:val="2"/>
                      <w:sz w:val="21"/>
                      <w:szCs w:val="21"/>
                      <w:shd w:val="clear" w:color="auto" w:fill="auto"/>
                      <w:lang w:val="en-US" w:eastAsia="zh-CN"/>
                    </w:rPr>
                  </w:rPrChange>
                </w:rPr>
                <w:t>部分</w:t>
              </w:r>
            </w:ins>
            <w:ins w:id="52" w:author="周明" w:date="2026-04-09T09:16:00Z">
              <w:r>
                <w:rPr>
                  <w:rFonts w:hint="eastAsia" w:ascii="仿宋_GB2312" w:hAnsi="仿宋_GB2312" w:eastAsia="仿宋_GB2312" w:cs="仿宋_GB2312"/>
                  <w:b/>
                  <w:bCs/>
                  <w:color w:val="auto"/>
                  <w:spacing w:val="0"/>
                  <w:kern w:val="2"/>
                  <w:sz w:val="18"/>
                  <w:szCs w:val="18"/>
                  <w:shd w:val="clear" w:color="auto" w:fill="auto"/>
                  <w:lang w:val="en-US" w:eastAsia="zh-CN"/>
                  <w:rPrChange w:id="53" w:author="周明" w:date="2026-04-09T09:17:00Z">
                    <w:rPr>
                      <w:rFonts w:hint="eastAsia" w:ascii="仿宋_GB2312" w:hAnsi="仿宋_GB2312" w:eastAsia="仿宋_GB2312" w:cs="仿宋_GB2312"/>
                      <w:color w:val="auto"/>
                      <w:spacing w:val="0"/>
                      <w:kern w:val="2"/>
                      <w:sz w:val="21"/>
                      <w:szCs w:val="21"/>
                      <w:shd w:val="clear" w:color="auto" w:fill="auto"/>
                      <w:lang w:val="en-US" w:eastAsia="zh-CN"/>
                    </w:rPr>
                  </w:rPrChange>
                </w:rPr>
                <w:t>指标</w:t>
              </w:r>
            </w:ins>
            <w:ins w:id="55" w:author="周明" w:date="2026-04-09T09:16:00Z">
              <w:r>
                <w:rPr>
                  <w:rFonts w:hint="eastAsia" w:ascii="仿宋_GB2312" w:hAnsi="仿宋_GB2312" w:eastAsia="仿宋_GB2312" w:cs="仿宋_GB2312"/>
                  <w:b/>
                  <w:bCs/>
                  <w:color w:val="auto"/>
                  <w:spacing w:val="0"/>
                  <w:kern w:val="2"/>
                  <w:sz w:val="18"/>
                  <w:szCs w:val="18"/>
                  <w:shd w:val="clear" w:color="auto" w:fill="auto"/>
                  <w:lang w:val="en-US" w:eastAsia="zh-CN"/>
                  <w:rPrChange w:id="56" w:author="周明" w:date="2026-04-09T09:17:00Z">
                    <w:rPr>
                      <w:rFonts w:hint="eastAsia" w:ascii="仿宋_GB2312" w:hAnsi="仿宋_GB2312" w:eastAsia="仿宋_GB2312" w:cs="仿宋_GB2312"/>
                      <w:color w:val="auto"/>
                      <w:spacing w:val="0"/>
                      <w:kern w:val="2"/>
                      <w:sz w:val="21"/>
                      <w:szCs w:val="21"/>
                      <w:shd w:val="clear" w:color="auto" w:fill="auto"/>
                      <w:lang w:val="en-US" w:eastAsia="zh-CN"/>
                    </w:rPr>
                  </w:rPrChange>
                </w:rPr>
                <w:t>和</w:t>
              </w:r>
            </w:ins>
            <w:ins w:id="58" w:author="周明" w:date="2026-04-09T09:16:00Z">
              <w:r>
                <w:rPr>
                  <w:rFonts w:hint="eastAsia" w:ascii="仿宋_GB2312" w:hAnsi="仿宋_GB2312" w:eastAsia="仿宋_GB2312" w:cs="仿宋_GB2312"/>
                  <w:b/>
                  <w:bCs/>
                  <w:color w:val="auto"/>
                  <w:spacing w:val="0"/>
                  <w:kern w:val="2"/>
                  <w:sz w:val="18"/>
                  <w:szCs w:val="18"/>
                  <w:shd w:val="clear" w:color="auto" w:fill="auto"/>
                  <w:lang w:val="en-US" w:eastAsia="zh-CN"/>
                  <w:rPrChange w:id="59" w:author="周明" w:date="2026-04-09T09:17:00Z">
                    <w:rPr>
                      <w:rFonts w:hint="eastAsia" w:ascii="仿宋_GB2312" w:hAnsi="仿宋_GB2312" w:eastAsia="仿宋_GB2312" w:cs="仿宋_GB2312"/>
                      <w:color w:val="auto"/>
                      <w:spacing w:val="0"/>
                      <w:kern w:val="2"/>
                      <w:sz w:val="21"/>
                      <w:szCs w:val="21"/>
                      <w:shd w:val="clear" w:color="auto" w:fill="auto"/>
                      <w:lang w:val="en-US" w:eastAsia="zh-CN"/>
                    </w:rPr>
                  </w:rPrChange>
                </w:rPr>
                <w:t>要求</w:t>
              </w:r>
            </w:ins>
            <w:ins w:id="61" w:author="周明" w:date="2026-04-09T09:16:00Z">
              <w:r>
                <w:rPr>
                  <w:rFonts w:hint="eastAsia" w:ascii="仿宋_GB2312" w:hAnsi="仿宋_GB2312" w:eastAsia="仿宋_GB2312" w:cs="仿宋_GB2312"/>
                  <w:b/>
                  <w:bCs/>
                  <w:color w:val="auto"/>
                  <w:spacing w:val="0"/>
                  <w:kern w:val="2"/>
                  <w:sz w:val="18"/>
                  <w:szCs w:val="18"/>
                  <w:shd w:val="clear" w:color="auto" w:fill="auto"/>
                  <w:lang w:val="en-US" w:eastAsia="zh-CN"/>
                  <w:rPrChange w:id="62" w:author="周明" w:date="2026-04-09T09:17:00Z">
                    <w:rPr>
                      <w:rFonts w:hint="eastAsia" w:ascii="仿宋_GB2312" w:hAnsi="仿宋_GB2312" w:eastAsia="仿宋_GB2312" w:cs="仿宋_GB2312"/>
                      <w:color w:val="auto"/>
                      <w:spacing w:val="0"/>
                      <w:kern w:val="2"/>
                      <w:sz w:val="21"/>
                      <w:szCs w:val="21"/>
                      <w:shd w:val="clear" w:color="auto" w:fill="auto"/>
                      <w:lang w:val="en-US" w:eastAsia="zh-CN"/>
                    </w:rPr>
                  </w:rPrChange>
                </w:rPr>
                <w:t>说明</w:t>
              </w:r>
            </w:ins>
          </w:p>
        </w:tc>
        <w:tc>
          <w:tcPr>
            <w:tcW w:w="3490" w:type="dxa"/>
            <w:tcBorders>
              <w:top w:val="single" w:color="000000" w:sz="4" w:space="0"/>
              <w:left w:val="single" w:color="000000" w:sz="4" w:space="0"/>
              <w:bottom w:val="single" w:color="000000" w:sz="4" w:space="0"/>
              <w:right w:val="single" w:color="000000" w:sz="4" w:space="0"/>
            </w:tcBorders>
            <w:noWrap w:val="0"/>
            <w:vAlign w:val="center"/>
            <w:tcPrChange w:id="64" w:author="周明" w:date="2026-04-09T09:18:00Z">
              <w:tcPr>
                <w:tcW w:w="3490" w:type="dxa"/>
                <w:tcBorders>
                  <w:top w:val="single" w:color="000000" w:sz="4" w:space="0"/>
                  <w:left w:val="single" w:color="000000" w:sz="4" w:space="0"/>
                  <w:bottom w:val="single" w:color="000000" w:sz="4" w:space="0"/>
                  <w:right w:val="single" w:color="000000" w:sz="4" w:space="0"/>
                </w:tcBorders>
                <w:noWrap w:val="0"/>
                <w:vAlign w:val="center"/>
              </w:tcPr>
            </w:tcPrChange>
          </w:tcPr>
          <w:p w14:paraId="3B4EB34C">
            <w:pPr>
              <w:keepNext w:val="0"/>
              <w:keepLines w:val="0"/>
              <w:pageBreakBefore w:val="0"/>
              <w:widowControl/>
              <w:kinsoku/>
              <w:wordWrap/>
              <w:overflowPunct/>
              <w:topLinePunct w:val="0"/>
              <w:autoSpaceDE/>
              <w:autoSpaceDN/>
              <w:bidi w:val="0"/>
              <w:adjustRightInd/>
              <w:snapToGrid/>
              <w:spacing w:line="300" w:lineRule="exact"/>
              <w:jc w:val="both"/>
              <w:textAlignment w:val="center"/>
              <w:rPr>
                <w:ins w:id="65" w:author="周明" w:date="2026-04-09T09:15:00Z"/>
                <w:rFonts w:hint="eastAsia" w:ascii="仿宋_GB2312" w:hAnsi="仿宋_GB2312" w:eastAsia="仿宋_GB2312" w:cs="仿宋_GB2312"/>
                <w:b w:val="0"/>
                <w:bCs w:val="0"/>
                <w:strike w:val="0"/>
                <w:dstrike w:val="0"/>
                <w:sz w:val="21"/>
                <w:szCs w:val="21"/>
                <w:u w:val="none"/>
                <w:lang w:val="en-US" w:eastAsia="zh-CN"/>
              </w:rPr>
            </w:pPr>
            <w:ins w:id="66" w:author="周明" w:date="2026-04-09T09:17:00Z">
              <w:r>
                <w:rPr>
                  <w:rFonts w:hint="eastAsia" w:ascii="仿宋_GB2312" w:hAnsi="仿宋_GB2312" w:eastAsia="仿宋_GB2312" w:cs="仿宋_GB2312"/>
                  <w:b w:val="0"/>
                  <w:bCs w:val="0"/>
                  <w:strike w:val="0"/>
                  <w:dstrike w:val="0"/>
                  <w:sz w:val="18"/>
                  <w:szCs w:val="18"/>
                  <w:u w:val="none"/>
                  <w:lang w:val="en-US" w:eastAsia="zh-CN"/>
                  <w:rPrChange w:id="67" w:author="周明" w:date="2026-04-09T09:18:00Z">
                    <w:rPr>
                      <w:rFonts w:hint="eastAsia" w:ascii="仿宋_GB2312" w:hAnsi="仿宋_GB2312" w:eastAsia="仿宋_GB2312" w:cs="仿宋_GB2312"/>
                      <w:b w:val="0"/>
                      <w:bCs w:val="0"/>
                      <w:strike w:val="0"/>
                      <w:dstrike w:val="0"/>
                      <w:sz w:val="21"/>
                      <w:szCs w:val="21"/>
                      <w:u w:val="none"/>
                      <w:lang w:val="en-US" w:eastAsia="zh-CN"/>
                    </w:rPr>
                  </w:rPrChange>
                </w:rPr>
                <w:t>增加</w:t>
              </w:r>
            </w:ins>
            <w:ins w:id="69" w:author="周明" w:date="2026-04-09T09:17:00Z">
              <w:r>
                <w:rPr>
                  <w:rFonts w:hint="eastAsia" w:ascii="仿宋_GB2312" w:hAnsi="仿宋_GB2312" w:eastAsia="仿宋_GB2312" w:cs="仿宋_GB2312"/>
                  <w:b w:val="0"/>
                  <w:bCs w:val="0"/>
                  <w:strike w:val="0"/>
                  <w:dstrike w:val="0"/>
                  <w:sz w:val="18"/>
                  <w:szCs w:val="18"/>
                  <w:u w:val="none"/>
                  <w:lang w:val="en-US" w:eastAsia="zh-CN"/>
                  <w:rPrChange w:id="70" w:author="周明" w:date="2026-04-09T09:18:00Z">
                    <w:rPr>
                      <w:rFonts w:hint="eastAsia" w:ascii="仿宋_GB2312" w:hAnsi="仿宋_GB2312" w:eastAsia="仿宋_GB2312" w:cs="仿宋_GB2312"/>
                      <w:b w:val="0"/>
                      <w:bCs w:val="0"/>
                      <w:strike w:val="0"/>
                      <w:dstrike w:val="0"/>
                      <w:sz w:val="21"/>
                      <w:szCs w:val="21"/>
                      <w:u w:val="none"/>
                      <w:lang w:val="en-US" w:eastAsia="zh-CN"/>
                    </w:rPr>
                  </w:rPrChange>
                </w:rPr>
                <w:t>一个</w:t>
              </w:r>
            </w:ins>
            <w:ins w:id="72" w:author="周明" w:date="2026-04-09T09:17:00Z">
              <w:r>
                <w:rPr>
                  <w:rFonts w:hint="eastAsia" w:ascii="仿宋_GB2312" w:hAnsi="仿宋_GB2312" w:eastAsia="仿宋_GB2312" w:cs="仿宋_GB2312"/>
                  <w:b w:val="0"/>
                  <w:bCs w:val="0"/>
                  <w:strike w:val="0"/>
                  <w:dstrike w:val="0"/>
                  <w:sz w:val="18"/>
                  <w:szCs w:val="18"/>
                  <w:u w:val="none"/>
                  <w:lang w:val="en-US" w:eastAsia="zh-CN"/>
                  <w:rPrChange w:id="73" w:author="周明" w:date="2026-04-09T09:18:00Z">
                    <w:rPr>
                      <w:rFonts w:hint="eastAsia" w:ascii="仿宋_GB2312" w:hAnsi="仿宋_GB2312" w:eastAsia="仿宋_GB2312" w:cs="仿宋_GB2312"/>
                      <w:b w:val="0"/>
                      <w:bCs w:val="0"/>
                      <w:strike w:val="0"/>
                      <w:dstrike w:val="0"/>
                      <w:sz w:val="21"/>
                      <w:szCs w:val="21"/>
                      <w:u w:val="none"/>
                      <w:lang w:val="en-US" w:eastAsia="zh-CN"/>
                    </w:rPr>
                  </w:rPrChange>
                </w:rPr>
                <w:t>附件</w:t>
              </w:r>
            </w:ins>
            <w:ins w:id="75" w:author="周明" w:date="2026-04-09T09:17:00Z">
              <w:r>
                <w:rPr>
                  <w:rFonts w:hint="eastAsia" w:ascii="仿宋_GB2312" w:hAnsi="仿宋_GB2312" w:eastAsia="仿宋_GB2312" w:cs="仿宋_GB2312"/>
                  <w:b w:val="0"/>
                  <w:bCs w:val="0"/>
                  <w:strike w:val="0"/>
                  <w:dstrike w:val="0"/>
                  <w:sz w:val="18"/>
                  <w:szCs w:val="18"/>
                  <w:u w:val="none"/>
                  <w:lang w:val="en-US" w:eastAsia="zh-CN"/>
                  <w:rPrChange w:id="76" w:author="周明" w:date="2026-04-09T09:18:00Z">
                    <w:rPr>
                      <w:rFonts w:hint="eastAsia" w:ascii="仿宋_GB2312" w:hAnsi="仿宋_GB2312" w:eastAsia="仿宋_GB2312" w:cs="仿宋_GB2312"/>
                      <w:b w:val="0"/>
                      <w:bCs w:val="0"/>
                      <w:strike w:val="0"/>
                      <w:dstrike w:val="0"/>
                      <w:sz w:val="21"/>
                      <w:szCs w:val="21"/>
                      <w:u w:val="none"/>
                      <w:lang w:val="en-US" w:eastAsia="zh-CN"/>
                    </w:rPr>
                  </w:rPrChange>
                </w:rPr>
                <w:t>，</w:t>
              </w:r>
            </w:ins>
            <w:ins w:id="78" w:author="周明" w:date="2026-04-09T09:17:00Z">
              <w:r>
                <w:rPr>
                  <w:rFonts w:hint="eastAsia" w:ascii="仿宋_GB2312" w:hAnsi="仿宋_GB2312" w:eastAsia="仿宋_GB2312" w:cs="仿宋_GB2312"/>
                  <w:b w:val="0"/>
                  <w:bCs w:val="0"/>
                  <w:strike w:val="0"/>
                  <w:dstrike w:val="0"/>
                  <w:sz w:val="18"/>
                  <w:szCs w:val="18"/>
                  <w:u w:val="none"/>
                  <w:lang w:val="en-US" w:eastAsia="zh-CN"/>
                  <w:rPrChange w:id="79" w:author="周明" w:date="2026-04-09T09:18:00Z">
                    <w:rPr>
                      <w:rFonts w:hint="eastAsia" w:ascii="仿宋_GB2312" w:hAnsi="仿宋_GB2312" w:eastAsia="仿宋_GB2312" w:cs="仿宋_GB2312"/>
                      <w:b w:val="0"/>
                      <w:bCs w:val="0"/>
                      <w:strike w:val="0"/>
                      <w:dstrike w:val="0"/>
                      <w:sz w:val="21"/>
                      <w:szCs w:val="21"/>
                      <w:u w:val="none"/>
                      <w:lang w:val="en-US" w:eastAsia="zh-CN"/>
                    </w:rPr>
                  </w:rPrChange>
                </w:rPr>
                <w:t>与工信部《办法》保持一致。</w:t>
              </w:r>
            </w:ins>
          </w:p>
        </w:tc>
      </w:tr>
    </w:tbl>
    <w:p w14:paraId="76D8B21E">
      <w:pPr>
        <w:spacing w:line="240" w:lineRule="auto"/>
        <w:jc w:val="both"/>
        <w:rPr>
          <w:rFonts w:hint="eastAsia" w:ascii="黑体" w:hAnsi="黑体" w:eastAsia="黑体" w:cs="黑体"/>
          <w:b w:val="0"/>
          <w:bCs w:val="0"/>
          <w:strike w:val="0"/>
          <w:dstrike w:val="0"/>
          <w:sz w:val="32"/>
          <w:szCs w:val="32"/>
          <w:u w:val="none"/>
          <w:lang w:val="en-US" w:eastAsia="zh-CN"/>
        </w:rPr>
      </w:pPr>
    </w:p>
    <w:sectPr>
      <w:footerReference r:id="rId3" w:type="default"/>
      <w:pgSz w:w="16838" w:h="11906" w:orient="landscape"/>
      <w:pgMar w:top="1800" w:right="1440" w:bottom="1800" w:left="1440" w:header="851" w:footer="992" w:gutter="0"/>
      <w:paperSrc/>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80442C-BE82-46C2-97FC-F3C8AC0D8F6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embedRegular r:id="rId2" w:fontKey="{74D65AC3-B486-4060-A1E9-DBE809CF7B2F}"/>
  </w:font>
  <w:font w:name="方正小标宋简体">
    <w:panose1 w:val="02010600010101010101"/>
    <w:charset w:val="86"/>
    <w:family w:val="auto"/>
    <w:pitch w:val="default"/>
    <w:sig w:usb0="00000001" w:usb1="080E0000" w:usb2="00000000" w:usb3="00000000" w:csb0="00040000" w:csb1="00000000"/>
    <w:embedRegular r:id="rId3" w:fontKey="{67279DD0-6174-4492-8624-8978219F915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1D63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D7B925">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12D7B925">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周明">
    <w15:presenceInfo w15:providerId="None" w15:userId="周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lMjY1MjU4YjA0ZWY3MTg4MTc0ZGMyYWU0MTVjZjgifQ=="/>
  </w:docVars>
  <w:rsids>
    <w:rsidRoot w:val="00172A27"/>
    <w:rsid w:val="005D1948"/>
    <w:rsid w:val="02CC6AD0"/>
    <w:rsid w:val="0388408C"/>
    <w:rsid w:val="03FFA290"/>
    <w:rsid w:val="05244F4C"/>
    <w:rsid w:val="07230354"/>
    <w:rsid w:val="07596E15"/>
    <w:rsid w:val="084B4AA5"/>
    <w:rsid w:val="092F7D7C"/>
    <w:rsid w:val="0C0A1AE2"/>
    <w:rsid w:val="0CB4ED5C"/>
    <w:rsid w:val="0D7CB965"/>
    <w:rsid w:val="0DC241A9"/>
    <w:rsid w:val="0E7B2823"/>
    <w:rsid w:val="0E7C74F0"/>
    <w:rsid w:val="0EEA79A9"/>
    <w:rsid w:val="0F07563B"/>
    <w:rsid w:val="0F6E4793"/>
    <w:rsid w:val="0F9E1270"/>
    <w:rsid w:val="0FFF6366"/>
    <w:rsid w:val="10BD2524"/>
    <w:rsid w:val="121B3B21"/>
    <w:rsid w:val="13630B49"/>
    <w:rsid w:val="141379A2"/>
    <w:rsid w:val="157D0A4E"/>
    <w:rsid w:val="15E7F08C"/>
    <w:rsid w:val="160F1F12"/>
    <w:rsid w:val="164E7166"/>
    <w:rsid w:val="181E3BCD"/>
    <w:rsid w:val="19FD684E"/>
    <w:rsid w:val="1A4C5E83"/>
    <w:rsid w:val="1AAD0012"/>
    <w:rsid w:val="1BFF5B3F"/>
    <w:rsid w:val="1C4C1CA3"/>
    <w:rsid w:val="1CAD5509"/>
    <w:rsid w:val="1CE727C6"/>
    <w:rsid w:val="1D8A165B"/>
    <w:rsid w:val="1DB93095"/>
    <w:rsid w:val="1DBBA501"/>
    <w:rsid w:val="1E804DCB"/>
    <w:rsid w:val="1FD3686E"/>
    <w:rsid w:val="200B6E74"/>
    <w:rsid w:val="205C2644"/>
    <w:rsid w:val="21B80FA4"/>
    <w:rsid w:val="224FD0D3"/>
    <w:rsid w:val="239E2197"/>
    <w:rsid w:val="24D33A58"/>
    <w:rsid w:val="24DA325B"/>
    <w:rsid w:val="25D9148D"/>
    <w:rsid w:val="25E16FED"/>
    <w:rsid w:val="27AB9130"/>
    <w:rsid w:val="27BD0204"/>
    <w:rsid w:val="28874860"/>
    <w:rsid w:val="298E2677"/>
    <w:rsid w:val="2A0315D4"/>
    <w:rsid w:val="2A1A3446"/>
    <w:rsid w:val="2BAA511A"/>
    <w:rsid w:val="2CC579D1"/>
    <w:rsid w:val="2E7B26BA"/>
    <w:rsid w:val="2F65A85D"/>
    <w:rsid w:val="306C3A94"/>
    <w:rsid w:val="32711098"/>
    <w:rsid w:val="330F5235"/>
    <w:rsid w:val="337EB318"/>
    <w:rsid w:val="33F413F3"/>
    <w:rsid w:val="34207846"/>
    <w:rsid w:val="34DBE797"/>
    <w:rsid w:val="34FE5814"/>
    <w:rsid w:val="35F419DE"/>
    <w:rsid w:val="35FD3FCB"/>
    <w:rsid w:val="35FF05B7"/>
    <w:rsid w:val="36A5099C"/>
    <w:rsid w:val="36BB6104"/>
    <w:rsid w:val="36F706B5"/>
    <w:rsid w:val="37682AA5"/>
    <w:rsid w:val="37896F30"/>
    <w:rsid w:val="37EDC097"/>
    <w:rsid w:val="37F74398"/>
    <w:rsid w:val="38302868"/>
    <w:rsid w:val="38883E83"/>
    <w:rsid w:val="393B40A2"/>
    <w:rsid w:val="3A944AF1"/>
    <w:rsid w:val="3B0963A0"/>
    <w:rsid w:val="3B1E2BED"/>
    <w:rsid w:val="3BD7F834"/>
    <w:rsid w:val="3BFB20E7"/>
    <w:rsid w:val="3CF25AF7"/>
    <w:rsid w:val="3CFF85E1"/>
    <w:rsid w:val="3D2128A0"/>
    <w:rsid w:val="3DBB446D"/>
    <w:rsid w:val="3DCAE93D"/>
    <w:rsid w:val="3DDFA850"/>
    <w:rsid w:val="3DF040EC"/>
    <w:rsid w:val="3E13C4B2"/>
    <w:rsid w:val="3E2E2624"/>
    <w:rsid w:val="3E891F6D"/>
    <w:rsid w:val="3EAB0813"/>
    <w:rsid w:val="3EBBCECD"/>
    <w:rsid w:val="3FD6480B"/>
    <w:rsid w:val="3FDF393F"/>
    <w:rsid w:val="3FEB1B1D"/>
    <w:rsid w:val="3FEFA87C"/>
    <w:rsid w:val="3FF8F2BE"/>
    <w:rsid w:val="3FFA7702"/>
    <w:rsid w:val="40E26692"/>
    <w:rsid w:val="41B96FC9"/>
    <w:rsid w:val="41EC351D"/>
    <w:rsid w:val="4205058A"/>
    <w:rsid w:val="42396070"/>
    <w:rsid w:val="43821597"/>
    <w:rsid w:val="43F565F9"/>
    <w:rsid w:val="44090847"/>
    <w:rsid w:val="4409584E"/>
    <w:rsid w:val="459F9159"/>
    <w:rsid w:val="46042829"/>
    <w:rsid w:val="46872554"/>
    <w:rsid w:val="48E40C1B"/>
    <w:rsid w:val="4A101B1A"/>
    <w:rsid w:val="4B993D66"/>
    <w:rsid w:val="4BEF0476"/>
    <w:rsid w:val="4D576EAD"/>
    <w:rsid w:val="4D7F2404"/>
    <w:rsid w:val="4DCC1452"/>
    <w:rsid w:val="4E4A1926"/>
    <w:rsid w:val="4F8E5B53"/>
    <w:rsid w:val="4FEF3B59"/>
    <w:rsid w:val="50483591"/>
    <w:rsid w:val="51312F51"/>
    <w:rsid w:val="514320F8"/>
    <w:rsid w:val="516FBD99"/>
    <w:rsid w:val="521560B8"/>
    <w:rsid w:val="545024C8"/>
    <w:rsid w:val="54DA1ED2"/>
    <w:rsid w:val="55344AA7"/>
    <w:rsid w:val="563A071B"/>
    <w:rsid w:val="563FF8C7"/>
    <w:rsid w:val="57855A9E"/>
    <w:rsid w:val="57BAF05F"/>
    <w:rsid w:val="57F928AF"/>
    <w:rsid w:val="57FEB3C0"/>
    <w:rsid w:val="58B80B2A"/>
    <w:rsid w:val="59677F65"/>
    <w:rsid w:val="5A200B3C"/>
    <w:rsid w:val="5A632296"/>
    <w:rsid w:val="5B7038D0"/>
    <w:rsid w:val="5BC221EC"/>
    <w:rsid w:val="5BF78308"/>
    <w:rsid w:val="5BFB96E4"/>
    <w:rsid w:val="5CD6EED7"/>
    <w:rsid w:val="5CF7ED43"/>
    <w:rsid w:val="5D8D744A"/>
    <w:rsid w:val="5EF52B38"/>
    <w:rsid w:val="5F3F81B7"/>
    <w:rsid w:val="5F5902C5"/>
    <w:rsid w:val="5F6750F9"/>
    <w:rsid w:val="5F76D89F"/>
    <w:rsid w:val="5F7F10B7"/>
    <w:rsid w:val="5F852081"/>
    <w:rsid w:val="5F8959EF"/>
    <w:rsid w:val="5FAEDD2D"/>
    <w:rsid w:val="5FAF4EAD"/>
    <w:rsid w:val="5FED3D75"/>
    <w:rsid w:val="5FFA6C11"/>
    <w:rsid w:val="5FFF7CD4"/>
    <w:rsid w:val="60B84E60"/>
    <w:rsid w:val="613E6BE3"/>
    <w:rsid w:val="61F7715A"/>
    <w:rsid w:val="625C41D4"/>
    <w:rsid w:val="625F3D8F"/>
    <w:rsid w:val="633371CE"/>
    <w:rsid w:val="63FDF19D"/>
    <w:rsid w:val="64694197"/>
    <w:rsid w:val="65042DB8"/>
    <w:rsid w:val="663E4FF9"/>
    <w:rsid w:val="666A7642"/>
    <w:rsid w:val="674DCD79"/>
    <w:rsid w:val="675F4E6C"/>
    <w:rsid w:val="67BFF839"/>
    <w:rsid w:val="6B7F8FF9"/>
    <w:rsid w:val="6B991511"/>
    <w:rsid w:val="6BBE4091"/>
    <w:rsid w:val="6BDAABB8"/>
    <w:rsid w:val="6BFAF3B2"/>
    <w:rsid w:val="6D5F2EA3"/>
    <w:rsid w:val="6D6D6950"/>
    <w:rsid w:val="6DA9DF00"/>
    <w:rsid w:val="6DBE283C"/>
    <w:rsid w:val="6DE13761"/>
    <w:rsid w:val="6DFFE972"/>
    <w:rsid w:val="6E4F18D4"/>
    <w:rsid w:val="6EF702E0"/>
    <w:rsid w:val="6F0900A4"/>
    <w:rsid w:val="6F3B5C4E"/>
    <w:rsid w:val="6FBEE93E"/>
    <w:rsid w:val="6FF2A4D9"/>
    <w:rsid w:val="6FF6EBB8"/>
    <w:rsid w:val="6FF9607F"/>
    <w:rsid w:val="6FFEA97C"/>
    <w:rsid w:val="701632CF"/>
    <w:rsid w:val="70F41261"/>
    <w:rsid w:val="730101C5"/>
    <w:rsid w:val="7337DB6E"/>
    <w:rsid w:val="73AF0292"/>
    <w:rsid w:val="73BC8E72"/>
    <w:rsid w:val="73D77824"/>
    <w:rsid w:val="73F43927"/>
    <w:rsid w:val="74FE27D1"/>
    <w:rsid w:val="75CFE543"/>
    <w:rsid w:val="75F7ABB7"/>
    <w:rsid w:val="76E9CB7A"/>
    <w:rsid w:val="7756C139"/>
    <w:rsid w:val="77BA744C"/>
    <w:rsid w:val="77BB0F3D"/>
    <w:rsid w:val="77CF47ED"/>
    <w:rsid w:val="77DA3F98"/>
    <w:rsid w:val="77EFA251"/>
    <w:rsid w:val="77F76057"/>
    <w:rsid w:val="77FD5913"/>
    <w:rsid w:val="79DE2EEA"/>
    <w:rsid w:val="7A9FE175"/>
    <w:rsid w:val="7AEB0625"/>
    <w:rsid w:val="7B3F64FC"/>
    <w:rsid w:val="7B5F9D3D"/>
    <w:rsid w:val="7B9A94AD"/>
    <w:rsid w:val="7BBEB764"/>
    <w:rsid w:val="7BDDD4A0"/>
    <w:rsid w:val="7CD5590C"/>
    <w:rsid w:val="7CDDCF4D"/>
    <w:rsid w:val="7D075BE8"/>
    <w:rsid w:val="7D3EF7F4"/>
    <w:rsid w:val="7D6E6F6F"/>
    <w:rsid w:val="7D7D8DEE"/>
    <w:rsid w:val="7D87EC9A"/>
    <w:rsid w:val="7D90EE34"/>
    <w:rsid w:val="7DB7AD52"/>
    <w:rsid w:val="7DBBB10F"/>
    <w:rsid w:val="7DBED1A0"/>
    <w:rsid w:val="7DBF97E3"/>
    <w:rsid w:val="7DF346CB"/>
    <w:rsid w:val="7E6D6841"/>
    <w:rsid w:val="7E7B30E8"/>
    <w:rsid w:val="7E97ABA7"/>
    <w:rsid w:val="7EA1433D"/>
    <w:rsid w:val="7EF6A651"/>
    <w:rsid w:val="7F3BF000"/>
    <w:rsid w:val="7F55AA0F"/>
    <w:rsid w:val="7F6E1EA7"/>
    <w:rsid w:val="7F7FD78F"/>
    <w:rsid w:val="7F8FDF5C"/>
    <w:rsid w:val="7F9F1E44"/>
    <w:rsid w:val="7FAF9D31"/>
    <w:rsid w:val="7FB79135"/>
    <w:rsid w:val="7FB9CAC9"/>
    <w:rsid w:val="7FBB8AD7"/>
    <w:rsid w:val="7FBF4896"/>
    <w:rsid w:val="7FCB0F03"/>
    <w:rsid w:val="7FDD6BB0"/>
    <w:rsid w:val="7FEE956E"/>
    <w:rsid w:val="7FFBA17F"/>
    <w:rsid w:val="7FFCE576"/>
    <w:rsid w:val="7FFF1143"/>
    <w:rsid w:val="8B9133D5"/>
    <w:rsid w:val="8CF72F0C"/>
    <w:rsid w:val="8EA7DB3D"/>
    <w:rsid w:val="8EF4BDB4"/>
    <w:rsid w:val="9771B7CF"/>
    <w:rsid w:val="97BB72AF"/>
    <w:rsid w:val="99DFFF49"/>
    <w:rsid w:val="99FF2D1F"/>
    <w:rsid w:val="9FE56929"/>
    <w:rsid w:val="A7E3B003"/>
    <w:rsid w:val="ABBDDD97"/>
    <w:rsid w:val="ABBF20D5"/>
    <w:rsid w:val="AE7767DD"/>
    <w:rsid w:val="AFFD94DB"/>
    <w:rsid w:val="AFFF3826"/>
    <w:rsid w:val="B3F73F1C"/>
    <w:rsid w:val="B7B3B96D"/>
    <w:rsid w:val="B7EB6B63"/>
    <w:rsid w:val="B7FF4ED3"/>
    <w:rsid w:val="B94BBC24"/>
    <w:rsid w:val="B9B7D32A"/>
    <w:rsid w:val="BBFD1AE9"/>
    <w:rsid w:val="BDF98B89"/>
    <w:rsid w:val="BEABAEDA"/>
    <w:rsid w:val="BEBD4C10"/>
    <w:rsid w:val="BF9A1415"/>
    <w:rsid w:val="BFD3103A"/>
    <w:rsid w:val="C7AFE44F"/>
    <w:rsid w:val="C7F56A11"/>
    <w:rsid w:val="C8FDE5F5"/>
    <w:rsid w:val="CBF706A8"/>
    <w:rsid w:val="CE36BFB3"/>
    <w:rsid w:val="CFFF9413"/>
    <w:rsid w:val="D1DD1CD5"/>
    <w:rsid w:val="D1DF1F65"/>
    <w:rsid w:val="D63D8AF8"/>
    <w:rsid w:val="D87791BF"/>
    <w:rsid w:val="D8AF7BEA"/>
    <w:rsid w:val="DB47B962"/>
    <w:rsid w:val="DB4F61C8"/>
    <w:rsid w:val="DBBF2F07"/>
    <w:rsid w:val="DBEC2420"/>
    <w:rsid w:val="DBEF472E"/>
    <w:rsid w:val="DBFA72DB"/>
    <w:rsid w:val="DD9F4BBC"/>
    <w:rsid w:val="DEAEC1CF"/>
    <w:rsid w:val="DEDBF83E"/>
    <w:rsid w:val="DF6E2867"/>
    <w:rsid w:val="DFD9F70B"/>
    <w:rsid w:val="DFDF208E"/>
    <w:rsid w:val="DFDF3C74"/>
    <w:rsid w:val="DFFBD1F9"/>
    <w:rsid w:val="DFFE0CC6"/>
    <w:rsid w:val="DFFFCBCE"/>
    <w:rsid w:val="DFFFFB24"/>
    <w:rsid w:val="E24B27C2"/>
    <w:rsid w:val="E5DEFB12"/>
    <w:rsid w:val="E5E9D700"/>
    <w:rsid w:val="E7FFF65B"/>
    <w:rsid w:val="EA7F2CE9"/>
    <w:rsid w:val="EBFE6933"/>
    <w:rsid w:val="EDCD16CC"/>
    <w:rsid w:val="EDD7F69A"/>
    <w:rsid w:val="EF7FED7B"/>
    <w:rsid w:val="EF9539B5"/>
    <w:rsid w:val="EFB7E63B"/>
    <w:rsid w:val="EFBA69AF"/>
    <w:rsid w:val="EFCF7420"/>
    <w:rsid w:val="EFD606CC"/>
    <w:rsid w:val="EFEC261E"/>
    <w:rsid w:val="EFF72443"/>
    <w:rsid w:val="EFFF25E6"/>
    <w:rsid w:val="F23F0450"/>
    <w:rsid w:val="F3178272"/>
    <w:rsid w:val="F3F5F1D6"/>
    <w:rsid w:val="F577A5E0"/>
    <w:rsid w:val="F5BB63FB"/>
    <w:rsid w:val="F65B28E1"/>
    <w:rsid w:val="F6FEC04F"/>
    <w:rsid w:val="F77FEE1B"/>
    <w:rsid w:val="F7C916EE"/>
    <w:rsid w:val="F7D73DE7"/>
    <w:rsid w:val="F7D773DF"/>
    <w:rsid w:val="F7DF4439"/>
    <w:rsid w:val="F7EFC590"/>
    <w:rsid w:val="F7FF1670"/>
    <w:rsid w:val="F7FF4844"/>
    <w:rsid w:val="F7FF8805"/>
    <w:rsid w:val="F7FFD4C6"/>
    <w:rsid w:val="F8CFDA21"/>
    <w:rsid w:val="FA9B5A4D"/>
    <w:rsid w:val="FACB734E"/>
    <w:rsid w:val="FAEFAA15"/>
    <w:rsid w:val="FB3CEC2D"/>
    <w:rsid w:val="FB7D2790"/>
    <w:rsid w:val="FB7FE134"/>
    <w:rsid w:val="FBCF2928"/>
    <w:rsid w:val="FBF4A0E0"/>
    <w:rsid w:val="FCEF8468"/>
    <w:rsid w:val="FCFECF85"/>
    <w:rsid w:val="FD1B510C"/>
    <w:rsid w:val="FD37797F"/>
    <w:rsid w:val="FD7A1361"/>
    <w:rsid w:val="FD930A45"/>
    <w:rsid w:val="FDBD2D07"/>
    <w:rsid w:val="FDC50FD7"/>
    <w:rsid w:val="FDDFD080"/>
    <w:rsid w:val="FDFF54D3"/>
    <w:rsid w:val="FDFFAA93"/>
    <w:rsid w:val="FE5896C9"/>
    <w:rsid w:val="FE5FEB1F"/>
    <w:rsid w:val="FE93DA88"/>
    <w:rsid w:val="FEDFBDDC"/>
    <w:rsid w:val="FEED1FE2"/>
    <w:rsid w:val="FEFBA5A2"/>
    <w:rsid w:val="FEFF91F3"/>
    <w:rsid w:val="FF3E371F"/>
    <w:rsid w:val="FF456D0C"/>
    <w:rsid w:val="FF5B2113"/>
    <w:rsid w:val="FF5F5CBC"/>
    <w:rsid w:val="FF6D1A6D"/>
    <w:rsid w:val="FF76BE9B"/>
    <w:rsid w:val="FF97C462"/>
    <w:rsid w:val="FFAE1B5D"/>
    <w:rsid w:val="FFBDA7DA"/>
    <w:rsid w:val="FFBF1A1A"/>
    <w:rsid w:val="FFE749E7"/>
    <w:rsid w:val="FFEF295F"/>
    <w:rsid w:val="FFF18C1B"/>
    <w:rsid w:val="FFF44AF3"/>
    <w:rsid w:val="FFF8508C"/>
    <w:rsid w:val="FFF9B9A0"/>
    <w:rsid w:val="FFFDFFD6"/>
    <w:rsid w:val="FFFE3B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Plain Text"/>
    <w:basedOn w:val="1"/>
    <w:qFormat/>
    <w:uiPriority w:val="0"/>
    <w:pPr>
      <w:widowControl/>
      <w:spacing w:before="100" w:beforeAutospacing="1" w:after="100" w:afterAutospacing="1" w:line="360" w:lineRule="auto"/>
      <w:jc w:val="left"/>
    </w:pPr>
    <w:rPr>
      <w:rFonts w:ascii="宋体" w:hAnsi="宋体" w:cs="宋体"/>
      <w:kern w:val="0"/>
      <w:sz w:val="24"/>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iPriority w:val="0"/>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2587</Words>
  <Characters>2612</Characters>
  <Lines>0</Lines>
  <Paragraphs>0</Paragraphs>
  <TotalTime>2.66666666666667</TotalTime>
  <ScaleCrop>false</ScaleCrop>
  <LinksUpToDate>false</LinksUpToDate>
  <CharactersWithSpaces>2617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2014-11-12T12:08:00Z</dcterms:created>
  <dc:creator>Administrator</dc:creator>
  <cp:lastModifiedBy>1213350559</cp:lastModifiedBy>
  <dcterms:modified xsi:type="dcterms:W3CDTF">2026-04-22T01:42:00Z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D982805D749745F7B89D3E531EB4E532_13</vt:lpwstr>
  </property>
  <property fmtid="{D5CDD505-2E9C-101B-9397-08002B2CF9AE}" pid="4" name="KSOTemplateDocerSaveRecord">
    <vt:lpwstr>eyJoZGlkIjoiNjJlMjY1MjU4YjA0ZWY3MTg4MTc0ZGMyYWU0MTVjZjgiLCJ1c2VySWQiOiI0MTU5NTY2MzMifQ==</vt:lpwstr>
  </property>
</Properties>
</file>