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3DD3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pacing w:val="0"/>
          <w:kern w:val="0"/>
          <w:sz w:val="32"/>
          <w:szCs w:val="32"/>
          <w:lang w:val="en-US" w:eastAsia="zh-CN" w:bidi="ar"/>
        </w:rPr>
      </w:pPr>
      <w:bookmarkStart w:id="0" w:name="_GoBack"/>
      <w:bookmarkEnd w:id="0"/>
      <w:r>
        <w:rPr>
          <w:rFonts w:hint="eastAsia" w:ascii="仿宋_GB2312" w:hAnsi="仿宋_GB2312" w:eastAsia="仿宋_GB2312" w:cs="仿宋_GB2312"/>
          <w:color w:val="000000"/>
          <w:spacing w:val="0"/>
          <w:kern w:val="0"/>
          <w:sz w:val="32"/>
          <w:szCs w:val="32"/>
          <w:lang w:val="en-US" w:eastAsia="zh-CN" w:bidi="ar"/>
        </w:rPr>
        <w:t>附件</w:t>
      </w:r>
      <w:r>
        <w:rPr>
          <w:rFonts w:hint="eastAsia" w:ascii="Times New Roman" w:hAnsi="Times New Roman" w:eastAsia="仿宋" w:cs="Times New Roman"/>
          <w:color w:val="000000"/>
          <w:spacing w:val="0"/>
          <w:kern w:val="2"/>
          <w:sz w:val="32"/>
          <w:szCs w:val="32"/>
          <w:lang w:val="en-US" w:eastAsia="zh-CN" w:bidi="ar"/>
        </w:rPr>
        <w:t>2</w:t>
      </w:r>
    </w:p>
    <w:p w14:paraId="6D889BA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color w:val="auto"/>
          <w:spacing w:val="-6"/>
          <w:kern w:val="0"/>
          <w:sz w:val="44"/>
          <w:szCs w:val="44"/>
          <w:lang w:val="en-US" w:eastAsia="zh-CN" w:bidi="ar"/>
        </w:rPr>
      </w:pPr>
    </w:p>
    <w:p w14:paraId="1F0769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pacing w:val="0"/>
          <w:kern w:val="0"/>
          <w:sz w:val="44"/>
          <w:szCs w:val="44"/>
          <w:lang w:val="en-US" w:eastAsia="zh-CN" w:bidi="ar"/>
        </w:rPr>
      </w:pPr>
      <w:r>
        <w:rPr>
          <w:rFonts w:hint="eastAsia" w:ascii="方正小标宋简体" w:hAnsi="方正小标宋简体" w:eastAsia="方正小标宋简体" w:cs="方正小标宋简体"/>
          <w:color w:val="auto"/>
          <w:spacing w:val="-6"/>
          <w:kern w:val="0"/>
          <w:sz w:val="44"/>
          <w:szCs w:val="44"/>
          <w:lang w:val="en-US" w:eastAsia="zh-CN" w:bidi="ar"/>
        </w:rPr>
        <w:t>广东省优质中小企业梯度培育管理实施细则</w:t>
      </w:r>
    </w:p>
    <w:p w14:paraId="58C47DC0">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（修订稿）</w:t>
      </w:r>
    </w:p>
    <w:p w14:paraId="1FB01625">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color w:val="000000"/>
          <w:kern w:val="0"/>
          <w:sz w:val="32"/>
          <w:szCs w:val="32"/>
          <w:lang w:val="en-US" w:eastAsia="zh-CN" w:bidi="ar"/>
        </w:rPr>
      </w:pPr>
    </w:p>
    <w:p w14:paraId="5EFDD4C6">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第一章 总则</w:t>
      </w:r>
    </w:p>
    <w:p w14:paraId="2C4CBE4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highlight w:val="none"/>
          <w:lang w:val="en-US" w:eastAsia="zh-CN" w:bidi="ar"/>
        </w:rPr>
      </w:pPr>
      <w:r>
        <w:rPr>
          <w:rFonts w:hint="eastAsia" w:ascii="黑体" w:hAnsi="黑体" w:eastAsia="黑体" w:cs="黑体"/>
          <w:b w:val="0"/>
          <w:bCs w:val="0"/>
          <w:color w:val="000000"/>
          <w:spacing w:val="0"/>
          <w:kern w:val="0"/>
          <w:sz w:val="32"/>
          <w:szCs w:val="32"/>
          <w:lang w:val="en-US" w:eastAsia="zh-CN" w:bidi="ar"/>
        </w:rPr>
        <w:t>第一条</w:t>
      </w:r>
      <w:r>
        <w:rPr>
          <w:rFonts w:hint="eastAsia" w:ascii="仿宋_GB2312" w:hAnsi="仿宋_GB2312" w:eastAsia="仿宋_GB2312" w:cs="仿宋_GB2312"/>
          <w:color w:val="000000"/>
          <w:spacing w:val="0"/>
          <w:kern w:val="0"/>
          <w:sz w:val="32"/>
          <w:szCs w:val="32"/>
          <w:lang w:val="en-US" w:eastAsia="zh-CN" w:bidi="ar"/>
        </w:rPr>
        <w:t xml:space="preserve"> 根据</w:t>
      </w:r>
      <w:r>
        <w:rPr>
          <w:rFonts w:hint="eastAsia" w:ascii="仿宋_GB2312" w:hAnsi="仿宋_GB2312" w:eastAsia="仿宋_GB2312" w:cs="仿宋_GB2312"/>
          <w:i w:val="0"/>
          <w:caps w:val="0"/>
          <w:color w:val="000000"/>
          <w:spacing w:val="0"/>
          <w:kern w:val="0"/>
          <w:sz w:val="32"/>
          <w:szCs w:val="32"/>
          <w:u w:val="none"/>
          <w:shd w:val="clear" w:color="auto" w:fill="auto"/>
          <w:lang w:val="en-US" w:eastAsia="zh-CN" w:bidi="ar"/>
        </w:rPr>
        <w:t>《工业和信息化部关于印发〈优质中小企业梯度培育管理办法〉的通知》</w:t>
      </w:r>
      <w:r>
        <w:rPr>
          <w:rFonts w:hint="eastAsia" w:ascii="仿宋_GB2312" w:hAnsi="仿宋_GB2312" w:eastAsia="仿宋_GB2312" w:cs="仿宋_GB2312"/>
          <w:color w:val="000000"/>
          <w:spacing w:val="0"/>
          <w:kern w:val="0"/>
          <w:sz w:val="32"/>
          <w:szCs w:val="32"/>
          <w:lang w:val="en-US" w:eastAsia="zh-CN" w:bidi="ar"/>
        </w:rPr>
        <w:t>（工信部企业</w:t>
      </w:r>
      <w:r>
        <w:rPr>
          <w:rFonts w:hint="eastAsia" w:ascii="仿宋_GB2312" w:hAnsi="仿宋_GB2312" w:eastAsia="仿宋_GB2312" w:cs="仿宋_GB2312"/>
          <w:color w:val="000000"/>
          <w:spacing w:val="0"/>
          <w:kern w:val="2"/>
          <w:sz w:val="32"/>
          <w:szCs w:val="32"/>
          <w:lang w:val="en-US" w:eastAsia="zh-CN" w:bidi="ar"/>
        </w:rPr>
        <w:t>〔</w:t>
      </w:r>
      <w:r>
        <w:rPr>
          <w:rFonts w:hint="eastAsia" w:ascii="Times New Roman" w:hAnsi="Times New Roman" w:eastAsia="仿宋" w:cs="Times New Roman"/>
          <w:color w:val="000000"/>
          <w:spacing w:val="0"/>
          <w:kern w:val="2"/>
          <w:sz w:val="32"/>
          <w:szCs w:val="32"/>
          <w:lang w:val="en-US" w:eastAsia="zh-CN" w:bidi="ar"/>
        </w:rPr>
        <w:t>2026</w:t>
      </w:r>
      <w:r>
        <w:rPr>
          <w:rFonts w:hint="eastAsia" w:ascii="仿宋_GB2312" w:hAnsi="仿宋_GB2312" w:eastAsia="仿宋_GB2312" w:cs="仿宋_GB2312"/>
          <w:color w:val="000000"/>
          <w:spacing w:val="0"/>
          <w:kern w:val="2"/>
          <w:sz w:val="32"/>
          <w:szCs w:val="32"/>
          <w:lang w:val="en-US" w:eastAsia="zh-CN" w:bidi="ar"/>
        </w:rPr>
        <w:t>〕</w:t>
      </w:r>
      <w:r>
        <w:rPr>
          <w:rFonts w:hint="eastAsia" w:ascii="Times New Roman" w:hAnsi="Times New Roman" w:eastAsia="仿宋" w:cs="Times New Roman"/>
          <w:color w:val="000000"/>
          <w:spacing w:val="0"/>
          <w:kern w:val="2"/>
          <w:sz w:val="32"/>
          <w:szCs w:val="32"/>
          <w:lang w:val="en-US" w:eastAsia="zh-CN" w:bidi="ar"/>
        </w:rPr>
        <w:t>2</w:t>
      </w:r>
      <w:r>
        <w:rPr>
          <w:rFonts w:hint="eastAsia" w:ascii="仿宋_GB2312" w:hAnsi="仿宋_GB2312" w:eastAsia="仿宋_GB2312" w:cs="仿宋_GB2312"/>
          <w:color w:val="000000"/>
          <w:spacing w:val="0"/>
          <w:kern w:val="0"/>
          <w:sz w:val="32"/>
          <w:szCs w:val="32"/>
          <w:lang w:val="en-US" w:eastAsia="zh-CN" w:bidi="ar"/>
        </w:rPr>
        <w:t>号，以下简称《办法》）要求，为加强和规范我省优质中小企业梯度培育管理，促进中小企业专精特新发展，支撑推进新型工业化、发展新质生产力、建设现代化产业体系</w:t>
      </w:r>
      <w:r>
        <w:rPr>
          <w:rFonts w:hint="eastAsia" w:ascii="仿宋_GB2312" w:hAnsi="仿宋_GB2312" w:eastAsia="仿宋_GB2312" w:cs="仿宋_GB2312"/>
          <w:spacing w:val="0"/>
          <w:sz w:val="32"/>
          <w:szCs w:val="32"/>
          <w:shd w:val="clear" w:color="auto" w:fill="FFFFFF"/>
        </w:rPr>
        <w:t>，</w:t>
      </w:r>
      <w:r>
        <w:rPr>
          <w:rFonts w:hint="eastAsia" w:ascii="仿宋_GB2312" w:hAnsi="仿宋_GB2312" w:eastAsia="仿宋_GB2312" w:cs="仿宋_GB2312"/>
          <w:strike w:val="0"/>
          <w:dstrike w:val="0"/>
          <w:color w:val="000000"/>
          <w:spacing w:val="0"/>
          <w:kern w:val="0"/>
          <w:sz w:val="32"/>
          <w:szCs w:val="32"/>
          <w:highlight w:val="none"/>
          <w:u w:val="none"/>
          <w:lang w:val="en-US" w:eastAsia="zh-CN" w:bidi="ar"/>
        </w:rPr>
        <w:t>特</w:t>
      </w:r>
      <w:r>
        <w:rPr>
          <w:rFonts w:hint="eastAsia" w:ascii="仿宋_GB2312" w:hAnsi="仿宋_GB2312" w:eastAsia="仿宋_GB2312" w:cs="仿宋_GB2312"/>
          <w:color w:val="000000"/>
          <w:spacing w:val="0"/>
          <w:kern w:val="0"/>
          <w:sz w:val="32"/>
          <w:szCs w:val="32"/>
          <w:lang w:val="en-US" w:eastAsia="zh-CN" w:bidi="ar"/>
        </w:rPr>
        <w:t>制定本实施细则。</w:t>
      </w:r>
    </w:p>
    <w:p w14:paraId="2247CCE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highlight w:val="none"/>
          <w:lang w:val="en-US" w:eastAsia="zh-CN" w:bidi="ar"/>
        </w:rPr>
      </w:pPr>
      <w:r>
        <w:rPr>
          <w:rFonts w:hint="eastAsia" w:ascii="黑体" w:hAnsi="黑体" w:eastAsia="黑体" w:cs="黑体"/>
          <w:color w:val="000000"/>
          <w:spacing w:val="0"/>
          <w:kern w:val="0"/>
          <w:sz w:val="32"/>
          <w:szCs w:val="32"/>
          <w:lang w:val="en-US" w:eastAsia="zh-CN" w:bidi="ar"/>
        </w:rPr>
        <w:t xml:space="preserve">第二条 </w:t>
      </w:r>
      <w:r>
        <w:rPr>
          <w:rFonts w:hint="eastAsia" w:ascii="仿宋_GB2312" w:hAnsi="仿宋_GB2312" w:eastAsia="仿宋_GB2312" w:cs="仿宋_GB2312"/>
          <w:color w:val="000000"/>
          <w:spacing w:val="0"/>
          <w:kern w:val="0"/>
          <w:sz w:val="32"/>
          <w:szCs w:val="32"/>
          <w:lang w:val="en-US" w:eastAsia="zh-CN" w:bidi="ar"/>
        </w:rPr>
        <w:t>本细则适用于广东省优质中小企业梯度培育管理，所称优质中小企业</w:t>
      </w:r>
      <w:r>
        <w:rPr>
          <w:rFonts w:hint="eastAsia" w:ascii="仿宋_GB2312" w:hAnsi="仿宋_GB2312" w:eastAsia="仿宋_GB2312" w:cs="仿宋_GB2312"/>
          <w:color w:val="000000"/>
          <w:spacing w:val="0"/>
          <w:kern w:val="0"/>
          <w:sz w:val="32"/>
          <w:szCs w:val="32"/>
        </w:rPr>
        <w:t>由</w:t>
      </w:r>
      <w:r>
        <w:rPr>
          <w:rFonts w:hint="eastAsia" w:ascii="仿宋_GB2312" w:hAnsi="仿宋_GB2312" w:eastAsia="仿宋_GB2312" w:cs="仿宋_GB2312"/>
          <w:color w:val="000000"/>
          <w:spacing w:val="0"/>
          <w:kern w:val="0"/>
          <w:sz w:val="32"/>
          <w:szCs w:val="32"/>
          <w:lang w:val="en-US" w:eastAsia="zh-CN"/>
        </w:rPr>
        <w:t>科技和</w:t>
      </w:r>
      <w:r>
        <w:rPr>
          <w:rFonts w:hint="eastAsia" w:ascii="仿宋_GB2312" w:hAnsi="仿宋_GB2312" w:eastAsia="仿宋_GB2312" w:cs="仿宋_GB2312"/>
          <w:color w:val="000000"/>
          <w:spacing w:val="0"/>
          <w:kern w:val="0"/>
          <w:sz w:val="32"/>
          <w:szCs w:val="32"/>
        </w:rPr>
        <w:t>创新型中小企业、专精特新中小企业</w:t>
      </w:r>
      <w:r>
        <w:rPr>
          <w:rFonts w:ascii="仿宋_GB2312" w:hAnsi="仿宋_GB2312" w:eastAsia="仿宋_GB2312" w:cs="仿宋_GB2312"/>
          <w:color w:val="000000"/>
          <w:spacing w:val="0"/>
          <w:kern w:val="0"/>
          <w:sz w:val="32"/>
          <w:szCs w:val="32"/>
        </w:rPr>
        <w:t>、</w:t>
      </w:r>
      <w:r>
        <w:rPr>
          <w:rFonts w:hint="eastAsia" w:ascii="仿宋_GB2312" w:hAnsi="仿宋_GB2312" w:eastAsia="仿宋_GB2312" w:cs="仿宋_GB2312"/>
          <w:color w:val="000000"/>
          <w:spacing w:val="0"/>
          <w:kern w:val="0"/>
          <w:sz w:val="32"/>
          <w:szCs w:val="32"/>
        </w:rPr>
        <w:t>专精特新“小巨人”企业</w:t>
      </w:r>
      <w:r>
        <w:rPr>
          <w:rFonts w:ascii="仿宋_GB2312" w:hAnsi="仿宋_GB2312" w:eastAsia="仿宋_GB2312" w:cs="仿宋_GB2312"/>
          <w:color w:val="000000"/>
          <w:spacing w:val="0"/>
          <w:kern w:val="0"/>
          <w:sz w:val="32"/>
          <w:szCs w:val="32"/>
        </w:rPr>
        <w:t>三</w:t>
      </w:r>
      <w:r>
        <w:rPr>
          <w:rFonts w:hint="eastAsia" w:ascii="仿宋_GB2312" w:hAnsi="仿宋_GB2312" w:eastAsia="仿宋_GB2312" w:cs="仿宋_GB2312"/>
          <w:color w:val="000000"/>
          <w:spacing w:val="0"/>
          <w:kern w:val="0"/>
          <w:sz w:val="32"/>
          <w:szCs w:val="32"/>
        </w:rPr>
        <w:t>个层次</w:t>
      </w:r>
      <w:r>
        <w:rPr>
          <w:rFonts w:hint="eastAsia" w:ascii="仿宋_GB2312" w:hAnsi="仿宋_GB2312" w:eastAsia="仿宋_GB2312" w:cs="仿宋_GB2312"/>
          <w:color w:val="000000"/>
          <w:spacing w:val="0"/>
          <w:kern w:val="0"/>
          <w:sz w:val="32"/>
          <w:szCs w:val="32"/>
          <w:lang w:eastAsia="zh-CN"/>
        </w:rPr>
        <w:t>梯度衔接</w:t>
      </w:r>
      <w:r>
        <w:rPr>
          <w:rFonts w:hint="eastAsia" w:ascii="仿宋_GB2312" w:hAnsi="仿宋_GB2312" w:eastAsia="仿宋_GB2312" w:cs="仿宋_GB2312"/>
          <w:color w:val="000000"/>
          <w:spacing w:val="0"/>
          <w:kern w:val="0"/>
          <w:sz w:val="32"/>
          <w:szCs w:val="32"/>
        </w:rPr>
        <w:t>组成。</w:t>
      </w:r>
    </w:p>
    <w:p w14:paraId="038F89AB">
      <w:pPr>
        <w:keepNext w:val="0"/>
        <w:keepLines w:val="0"/>
        <w:pageBreakBefore w:val="0"/>
        <w:widowControl/>
        <w:suppressLineNumbers w:val="0"/>
        <w:suppressAutoHyphens w:val="0"/>
        <w:kinsoku/>
        <w:wordWrap/>
        <w:overflowPunct/>
        <w:topLinePunct w:val="0"/>
        <w:autoSpaceDE/>
        <w:autoSpaceDN/>
        <w:bidi w:val="0"/>
        <w:spacing w:line="560" w:lineRule="exact"/>
        <w:ind w:firstLine="640" w:firstLineChars="200"/>
        <w:jc w:val="both"/>
        <w:rPr>
          <w:rFonts w:hint="eastAsia" w:ascii="仿宋_GB2312" w:eastAsia="仿宋_GB2312"/>
          <w:spacing w:val="0"/>
          <w:kern w:val="0"/>
          <w:sz w:val="32"/>
          <w:szCs w:val="32"/>
          <w:u w:val="none"/>
          <w:shd w:val="clear" w:color="auto" w:fill="FFFFFF"/>
        </w:rPr>
      </w:pPr>
      <w:r>
        <w:rPr>
          <w:rFonts w:hint="eastAsia" w:ascii="黑体" w:hAnsi="黑体" w:eastAsia="黑体" w:cs="黑体"/>
          <w:color w:val="000000"/>
          <w:spacing w:val="0"/>
          <w:kern w:val="0"/>
          <w:sz w:val="32"/>
          <w:szCs w:val="32"/>
          <w:lang w:val="en-US" w:eastAsia="zh-CN" w:bidi="ar"/>
        </w:rPr>
        <w:t>第三条</w:t>
      </w:r>
      <w:r>
        <w:rPr>
          <w:rFonts w:hint="eastAsia" w:ascii="仿宋_GB2312" w:hAnsi="仿宋_GB2312" w:eastAsia="仿宋_GB2312" w:cs="仿宋_GB2312"/>
          <w:color w:val="000000"/>
          <w:spacing w:val="0"/>
          <w:kern w:val="0"/>
          <w:sz w:val="32"/>
          <w:szCs w:val="32"/>
          <w:lang w:val="en-US" w:eastAsia="zh-CN" w:bidi="ar"/>
        </w:rPr>
        <w:t xml:space="preserve"> </w:t>
      </w:r>
      <w:r>
        <w:rPr>
          <w:rFonts w:hint="eastAsia" w:ascii="仿宋_GB2312" w:eastAsia="仿宋_GB2312"/>
          <w:spacing w:val="0"/>
          <w:kern w:val="0"/>
          <w:sz w:val="32"/>
          <w:szCs w:val="32"/>
          <w:u w:val="none"/>
          <w:shd w:val="clear" w:color="auto" w:fill="FFFFFF"/>
        </w:rPr>
        <w:t>省工业和信息化厅负责广东省优质中小企业梯度培育管理工作</w:t>
      </w:r>
      <w:r>
        <w:rPr>
          <w:rFonts w:hint="eastAsia" w:ascii="仿宋_GB2312" w:eastAsia="仿宋_GB2312"/>
          <w:spacing w:val="0"/>
          <w:kern w:val="0"/>
          <w:sz w:val="32"/>
          <w:szCs w:val="32"/>
          <w:highlight w:val="none"/>
          <w:u w:val="none"/>
          <w:shd w:val="clear" w:color="auto" w:fill="FFFFFF"/>
          <w:lang w:eastAsia="zh-CN"/>
        </w:rPr>
        <w:t>的统筹协调、服务指导和监督检查</w:t>
      </w:r>
      <w:r>
        <w:rPr>
          <w:rFonts w:hint="eastAsia" w:ascii="仿宋_GB2312" w:eastAsia="仿宋_GB2312"/>
          <w:spacing w:val="0"/>
          <w:kern w:val="0"/>
          <w:sz w:val="32"/>
          <w:szCs w:val="32"/>
          <w:highlight w:val="none"/>
          <w:u w:val="none"/>
          <w:shd w:val="clear" w:color="auto" w:fill="FFFFFF"/>
        </w:rPr>
        <w:t>，负责</w:t>
      </w:r>
      <w:r>
        <w:rPr>
          <w:rFonts w:hint="eastAsia" w:ascii="仿宋_GB2312" w:hAnsi="仿宋_GB2312" w:eastAsia="仿宋_GB2312" w:cs="仿宋_GB2312"/>
          <w:color w:val="000000"/>
          <w:spacing w:val="0"/>
          <w:kern w:val="0"/>
          <w:sz w:val="32"/>
          <w:szCs w:val="32"/>
        </w:rPr>
        <w:t>专精特新中小企业</w:t>
      </w:r>
      <w:r>
        <w:rPr>
          <w:rFonts w:hint="eastAsia" w:ascii="仿宋_GB2312" w:hAnsi="仿宋_GB2312" w:eastAsia="仿宋_GB2312" w:cs="仿宋_GB2312"/>
          <w:color w:val="000000"/>
          <w:spacing w:val="0"/>
          <w:kern w:val="0"/>
          <w:sz w:val="32"/>
          <w:szCs w:val="32"/>
          <w:lang w:eastAsia="zh-CN"/>
        </w:rPr>
        <w:t>的</w:t>
      </w:r>
      <w:r>
        <w:rPr>
          <w:rFonts w:hint="eastAsia" w:ascii="仿宋_GB2312" w:eastAsia="仿宋_GB2312"/>
          <w:spacing w:val="0"/>
          <w:kern w:val="0"/>
          <w:sz w:val="32"/>
          <w:szCs w:val="32"/>
          <w:u w:val="none"/>
          <w:shd w:val="clear" w:color="auto" w:fill="FFFFFF"/>
          <w:lang w:val="en-US" w:eastAsia="zh-CN"/>
        </w:rPr>
        <w:t>抽查</w:t>
      </w:r>
      <w:r>
        <w:rPr>
          <w:rFonts w:hint="eastAsia" w:ascii="仿宋_GB2312" w:eastAsia="仿宋_GB2312"/>
          <w:spacing w:val="0"/>
          <w:kern w:val="0"/>
          <w:sz w:val="32"/>
          <w:szCs w:val="32"/>
          <w:u w:val="none"/>
          <w:shd w:val="clear" w:color="auto" w:fill="FFFFFF"/>
          <w:lang w:eastAsia="zh-CN"/>
        </w:rPr>
        <w:t>和认定、</w:t>
      </w:r>
      <w:r>
        <w:rPr>
          <w:rFonts w:hint="eastAsia" w:ascii="仿宋_GB2312" w:eastAsia="仿宋_GB2312"/>
          <w:spacing w:val="0"/>
          <w:kern w:val="0"/>
          <w:sz w:val="32"/>
          <w:szCs w:val="32"/>
          <w:u w:val="none"/>
          <w:shd w:val="clear" w:color="auto" w:fill="FFFFFF"/>
        </w:rPr>
        <w:t>专精特新“小巨人”</w:t>
      </w:r>
      <w:r>
        <w:rPr>
          <w:rFonts w:hint="eastAsia" w:ascii="仿宋_GB2312" w:eastAsia="仿宋_GB2312"/>
          <w:spacing w:val="0"/>
          <w:kern w:val="0"/>
          <w:sz w:val="32"/>
          <w:szCs w:val="32"/>
          <w:u w:val="none"/>
          <w:shd w:val="clear" w:color="auto" w:fill="FFFFFF"/>
          <w:lang w:eastAsia="zh-CN"/>
        </w:rPr>
        <w:t>企业的</w:t>
      </w:r>
      <w:r>
        <w:rPr>
          <w:rFonts w:hint="eastAsia" w:ascii="仿宋_GB2312" w:eastAsia="仿宋_GB2312"/>
          <w:spacing w:val="0"/>
          <w:kern w:val="0"/>
          <w:sz w:val="32"/>
          <w:szCs w:val="32"/>
          <w:u w:val="none"/>
          <w:shd w:val="clear" w:color="auto" w:fill="FFFFFF"/>
          <w:lang w:val="en-US" w:eastAsia="zh-CN"/>
        </w:rPr>
        <w:t>公示</w:t>
      </w:r>
      <w:r>
        <w:rPr>
          <w:rFonts w:hint="eastAsia" w:ascii="仿宋_GB2312" w:eastAsia="仿宋_GB2312"/>
          <w:color w:val="auto"/>
          <w:spacing w:val="0"/>
          <w:kern w:val="0"/>
          <w:sz w:val="32"/>
          <w:szCs w:val="32"/>
          <w:u w:val="none"/>
          <w:shd w:val="clear" w:color="auto" w:fill="FFFFFF"/>
          <w:lang w:val="en-US" w:eastAsia="zh-CN"/>
        </w:rPr>
        <w:t>和</w:t>
      </w:r>
      <w:r>
        <w:rPr>
          <w:rFonts w:hint="eastAsia" w:ascii="仿宋_GB2312" w:eastAsia="仿宋_GB2312"/>
          <w:color w:val="auto"/>
          <w:spacing w:val="0"/>
          <w:kern w:val="0"/>
          <w:sz w:val="32"/>
          <w:szCs w:val="32"/>
          <w:u w:val="none"/>
          <w:shd w:val="clear" w:color="auto" w:fill="FFFFFF"/>
        </w:rPr>
        <w:t>推荐</w:t>
      </w:r>
      <w:r>
        <w:rPr>
          <w:rFonts w:hint="eastAsia" w:ascii="仿宋_GB2312" w:eastAsia="仿宋_GB2312"/>
          <w:spacing w:val="0"/>
          <w:kern w:val="0"/>
          <w:sz w:val="32"/>
          <w:szCs w:val="32"/>
          <w:u w:val="none"/>
          <w:shd w:val="clear" w:color="auto" w:fill="FFFFFF"/>
        </w:rPr>
        <w:t>等工作。</w:t>
      </w:r>
    </w:p>
    <w:p w14:paraId="7E019D0D">
      <w:pPr>
        <w:keepNext w:val="0"/>
        <w:keepLines w:val="0"/>
        <w:pageBreakBefore w:val="0"/>
        <w:widowControl/>
        <w:suppressLineNumbers w:val="0"/>
        <w:suppressAutoHyphens w:val="0"/>
        <w:kinsoku/>
        <w:wordWrap/>
        <w:overflowPunct/>
        <w:topLinePunct w:val="0"/>
        <w:autoSpaceDE/>
        <w:autoSpaceDN/>
        <w:bidi w:val="0"/>
        <w:spacing w:line="560" w:lineRule="exact"/>
        <w:ind w:firstLine="640" w:firstLineChars="200"/>
        <w:jc w:val="both"/>
        <w:rPr>
          <w:rFonts w:hint="eastAsia" w:ascii="仿宋_GB2312" w:eastAsia="仿宋_GB2312"/>
          <w:spacing w:val="0"/>
          <w:kern w:val="0"/>
          <w:sz w:val="32"/>
          <w:szCs w:val="32"/>
          <w:u w:val="none"/>
          <w:shd w:val="clear" w:color="auto" w:fill="FFFFFF"/>
        </w:rPr>
      </w:pPr>
      <w:r>
        <w:rPr>
          <w:rFonts w:hint="eastAsia" w:ascii="仿宋_GB2312" w:eastAsia="仿宋_GB2312"/>
          <w:spacing w:val="0"/>
          <w:kern w:val="0"/>
          <w:sz w:val="32"/>
          <w:szCs w:val="32"/>
          <w:u w:val="none"/>
          <w:shd w:val="clear" w:color="auto" w:fill="FFFFFF"/>
        </w:rPr>
        <w:t>深圳市中小企业主管部门根据《办法》</w:t>
      </w:r>
      <w:r>
        <w:rPr>
          <w:rFonts w:hint="eastAsia" w:ascii="仿宋_GB2312" w:eastAsia="仿宋_GB2312"/>
          <w:spacing w:val="0"/>
          <w:kern w:val="0"/>
          <w:sz w:val="32"/>
          <w:szCs w:val="32"/>
          <w:u w:val="none"/>
          <w:shd w:val="clear" w:color="auto" w:fill="FFFFFF"/>
          <w:lang w:eastAsia="zh-CN"/>
        </w:rPr>
        <w:t>有关</w:t>
      </w:r>
      <w:r>
        <w:rPr>
          <w:rFonts w:hint="eastAsia" w:ascii="仿宋_GB2312" w:eastAsia="仿宋_GB2312"/>
          <w:spacing w:val="0"/>
          <w:kern w:val="0"/>
          <w:sz w:val="32"/>
          <w:szCs w:val="32"/>
          <w:u w:val="none"/>
          <w:shd w:val="clear" w:color="auto" w:fill="FFFFFF"/>
        </w:rPr>
        <w:t>要求自行组织深圳市优质中小企业</w:t>
      </w:r>
      <w:r>
        <w:rPr>
          <w:rFonts w:hint="eastAsia" w:ascii="仿宋_GB2312" w:eastAsia="仿宋_GB2312"/>
          <w:spacing w:val="0"/>
          <w:kern w:val="0"/>
          <w:sz w:val="32"/>
          <w:szCs w:val="32"/>
          <w:u w:val="none"/>
          <w:shd w:val="clear" w:color="auto" w:fill="FFFFFF"/>
          <w:lang w:eastAsia="zh-CN"/>
        </w:rPr>
        <w:t>梯度</w:t>
      </w:r>
      <w:r>
        <w:rPr>
          <w:rFonts w:hint="eastAsia" w:ascii="仿宋_GB2312" w:eastAsia="仿宋_GB2312"/>
          <w:spacing w:val="0"/>
          <w:kern w:val="0"/>
          <w:sz w:val="32"/>
          <w:szCs w:val="32"/>
          <w:u w:val="none"/>
          <w:shd w:val="clear" w:color="auto" w:fill="FFFFFF"/>
        </w:rPr>
        <w:t>培育管理工作，</w:t>
      </w:r>
      <w:r>
        <w:rPr>
          <w:rFonts w:hint="eastAsia" w:ascii="仿宋_GB2312" w:eastAsia="仿宋_GB2312"/>
          <w:spacing w:val="0"/>
          <w:kern w:val="0"/>
          <w:sz w:val="32"/>
          <w:szCs w:val="32"/>
          <w:u w:val="none"/>
          <w:shd w:val="clear" w:color="auto" w:fill="FFFFFF"/>
          <w:lang w:eastAsia="zh-CN"/>
        </w:rPr>
        <w:t>认定</w:t>
      </w:r>
      <w:r>
        <w:rPr>
          <w:rFonts w:hint="eastAsia" w:ascii="仿宋_GB2312" w:eastAsia="仿宋_GB2312"/>
          <w:spacing w:val="0"/>
          <w:kern w:val="0"/>
          <w:sz w:val="32"/>
          <w:szCs w:val="32"/>
          <w:u w:val="none"/>
          <w:shd w:val="clear" w:color="auto" w:fill="FFFFFF"/>
        </w:rPr>
        <w:t>的专精特新中小企业，以及经工业和信息化部认定的国家专精特新“小巨人”企业，属于广东省优质中小企业组成部分，有关情况按要求向省工业和信息化厅报备。</w:t>
      </w:r>
    </w:p>
    <w:p w14:paraId="49FBFDD4">
      <w:pPr>
        <w:keepNext w:val="0"/>
        <w:keepLines w:val="0"/>
        <w:pageBreakBefore w:val="0"/>
        <w:widowControl/>
        <w:suppressLineNumbers w:val="0"/>
        <w:suppressAutoHyphens w:val="0"/>
        <w:kinsoku/>
        <w:wordWrap/>
        <w:overflowPunct/>
        <w:topLinePunct w:val="0"/>
        <w:autoSpaceDE/>
        <w:autoSpaceDN/>
        <w:bidi w:val="0"/>
        <w:spacing w:line="560" w:lineRule="exact"/>
        <w:ind w:firstLine="640" w:firstLineChars="200"/>
        <w:jc w:val="both"/>
        <w:rPr>
          <w:rFonts w:hint="eastAsia" w:ascii="仿宋_GB2312" w:eastAsia="仿宋_GB2312"/>
          <w:strike w:val="0"/>
          <w:dstrike w:val="0"/>
          <w:spacing w:val="0"/>
          <w:kern w:val="0"/>
          <w:sz w:val="32"/>
          <w:szCs w:val="32"/>
          <w:u w:val="none"/>
          <w:shd w:val="clear" w:color="auto" w:fill="FFFFFF"/>
        </w:rPr>
      </w:pPr>
      <w:r>
        <w:rPr>
          <w:rFonts w:hint="eastAsia" w:ascii="仿宋_GB2312" w:eastAsia="仿宋_GB2312"/>
          <w:strike w:val="0"/>
          <w:dstrike w:val="0"/>
          <w:spacing w:val="0"/>
          <w:kern w:val="0"/>
          <w:sz w:val="32"/>
          <w:szCs w:val="32"/>
          <w:u w:val="none"/>
          <w:shd w:val="clear" w:color="auto" w:fill="FFFFFF"/>
          <w:lang w:eastAsia="zh-CN"/>
        </w:rPr>
        <w:t>其他</w:t>
      </w:r>
      <w:r>
        <w:rPr>
          <w:rFonts w:hint="eastAsia" w:ascii="仿宋_GB2312" w:eastAsia="仿宋_GB2312"/>
          <w:strike w:val="0"/>
          <w:dstrike w:val="0"/>
          <w:spacing w:val="0"/>
          <w:kern w:val="0"/>
          <w:sz w:val="32"/>
          <w:szCs w:val="32"/>
          <w:u w:val="none"/>
          <w:shd w:val="clear" w:color="auto" w:fill="FFFFFF"/>
        </w:rPr>
        <w:t>地级以上市中小企业主管部门</w:t>
      </w:r>
      <w:r>
        <w:rPr>
          <w:rFonts w:hint="eastAsia" w:ascii="仿宋_GB2312" w:eastAsia="仿宋_GB2312"/>
          <w:strike w:val="0"/>
          <w:dstrike w:val="0"/>
          <w:spacing w:val="0"/>
          <w:kern w:val="0"/>
          <w:sz w:val="32"/>
          <w:szCs w:val="32"/>
          <w:highlight w:val="none"/>
          <w:u w:val="none"/>
          <w:shd w:val="clear" w:color="auto" w:fill="FFFFFF"/>
        </w:rPr>
        <w:t>负责</w:t>
      </w:r>
      <w:r>
        <w:rPr>
          <w:rFonts w:hint="eastAsia" w:ascii="仿宋_GB2312" w:eastAsia="仿宋_GB2312"/>
          <w:strike w:val="0"/>
          <w:dstrike w:val="0"/>
          <w:spacing w:val="0"/>
          <w:kern w:val="0"/>
          <w:sz w:val="32"/>
          <w:szCs w:val="32"/>
          <w:highlight w:val="none"/>
          <w:u w:val="none"/>
          <w:shd w:val="clear" w:color="auto" w:fill="FFFFFF"/>
          <w:lang w:eastAsia="zh-CN"/>
        </w:rPr>
        <w:t>组织</w:t>
      </w:r>
      <w:r>
        <w:rPr>
          <w:rFonts w:hint="eastAsia" w:ascii="仿宋_GB2312" w:eastAsia="仿宋_GB2312"/>
          <w:strike w:val="0"/>
          <w:dstrike w:val="0"/>
          <w:spacing w:val="0"/>
          <w:kern w:val="0"/>
          <w:sz w:val="32"/>
          <w:szCs w:val="32"/>
          <w:u w:val="none"/>
          <w:shd w:val="clear" w:color="auto" w:fill="FFFFFF"/>
        </w:rPr>
        <w:t>本行政区域内</w:t>
      </w:r>
      <w:r>
        <w:rPr>
          <w:rFonts w:hint="eastAsia" w:ascii="仿宋_GB2312" w:eastAsia="仿宋_GB2312"/>
          <w:strike w:val="0"/>
          <w:dstrike w:val="0"/>
          <w:spacing w:val="0"/>
          <w:kern w:val="0"/>
          <w:sz w:val="32"/>
          <w:szCs w:val="32"/>
          <w:highlight w:val="none"/>
          <w:u w:val="none"/>
          <w:shd w:val="clear" w:color="auto" w:fill="FFFFFF"/>
          <w:lang w:eastAsia="zh-CN"/>
        </w:rPr>
        <w:t>专精特新中小企业和专精特新“小巨人”企业的审核推荐，</w:t>
      </w:r>
      <w:r>
        <w:rPr>
          <w:rFonts w:hint="eastAsia" w:ascii="仿宋_GB2312" w:eastAsia="仿宋_GB2312"/>
          <w:strike w:val="0"/>
          <w:dstrike w:val="0"/>
          <w:spacing w:val="0"/>
          <w:kern w:val="0"/>
          <w:sz w:val="32"/>
          <w:szCs w:val="32"/>
          <w:u w:val="none"/>
          <w:shd w:val="clear" w:color="auto" w:fill="FFFFFF"/>
          <w:lang w:eastAsia="zh-CN"/>
        </w:rPr>
        <w:t>以及</w:t>
      </w:r>
      <w:r>
        <w:rPr>
          <w:rFonts w:hint="eastAsia" w:ascii="仿宋_GB2312" w:eastAsia="仿宋_GB2312"/>
          <w:strike w:val="0"/>
          <w:dstrike w:val="0"/>
          <w:spacing w:val="0"/>
          <w:kern w:val="0"/>
          <w:sz w:val="32"/>
          <w:szCs w:val="32"/>
          <w:u w:val="none"/>
          <w:shd w:val="clear" w:color="auto" w:fill="FFFFFF"/>
        </w:rPr>
        <w:t>优质中小企业</w:t>
      </w:r>
      <w:r>
        <w:rPr>
          <w:rFonts w:hint="eastAsia" w:ascii="仿宋_GB2312" w:eastAsia="仿宋_GB2312"/>
          <w:strike w:val="0"/>
          <w:dstrike w:val="0"/>
          <w:spacing w:val="0"/>
          <w:kern w:val="0"/>
          <w:sz w:val="32"/>
          <w:szCs w:val="32"/>
          <w:highlight w:val="none"/>
          <w:u w:val="none"/>
          <w:shd w:val="clear" w:color="auto" w:fill="FFFFFF"/>
          <w:lang w:eastAsia="zh-CN"/>
        </w:rPr>
        <w:t>培育服务等具体实施</w:t>
      </w:r>
      <w:r>
        <w:rPr>
          <w:rFonts w:hint="eastAsia" w:ascii="仿宋_GB2312" w:eastAsia="仿宋_GB2312"/>
          <w:strike w:val="0"/>
          <w:dstrike w:val="0"/>
          <w:spacing w:val="0"/>
          <w:kern w:val="0"/>
          <w:sz w:val="32"/>
          <w:szCs w:val="32"/>
          <w:u w:val="none"/>
          <w:shd w:val="clear" w:color="auto" w:fill="FFFFFF"/>
        </w:rPr>
        <w:t>工作。</w:t>
      </w:r>
    </w:p>
    <w:p w14:paraId="1C139E2F">
      <w:pPr>
        <w:keepNext w:val="0"/>
        <w:keepLines w:val="0"/>
        <w:pageBreakBefore w:val="0"/>
        <w:widowControl/>
        <w:suppressLineNumbers w:val="0"/>
        <w:suppressAutoHyphens w:val="0"/>
        <w:kinsoku/>
        <w:wordWrap/>
        <w:overflowPunct/>
        <w:topLinePunct w:val="0"/>
        <w:autoSpaceDE/>
        <w:autoSpaceDN/>
        <w:bidi w:val="0"/>
        <w:spacing w:line="560" w:lineRule="exact"/>
        <w:ind w:firstLine="640" w:firstLineChars="200"/>
        <w:jc w:val="both"/>
        <w:rPr>
          <w:rFonts w:hint="eastAsia" w:ascii="仿宋_GB2312" w:eastAsia="仿宋_GB2312"/>
          <w:strike w:val="0"/>
          <w:dstrike w:val="0"/>
          <w:spacing w:val="0"/>
          <w:kern w:val="0"/>
          <w:sz w:val="32"/>
          <w:szCs w:val="32"/>
          <w:u w:val="none"/>
          <w:shd w:val="clear" w:color="auto" w:fill="FFFFFF"/>
          <w:lang w:eastAsia="zh-CN"/>
        </w:rPr>
      </w:pPr>
      <w:r>
        <w:rPr>
          <w:rFonts w:hint="eastAsia" w:ascii="仿宋_GB2312" w:eastAsia="仿宋_GB2312"/>
          <w:strike w:val="0"/>
          <w:dstrike w:val="0"/>
          <w:spacing w:val="0"/>
          <w:kern w:val="0"/>
          <w:sz w:val="32"/>
          <w:szCs w:val="32"/>
          <w:u w:val="none"/>
          <w:shd w:val="clear" w:color="auto" w:fill="FFFFFF"/>
          <w:lang w:eastAsia="zh-CN"/>
        </w:rPr>
        <w:t>其他机构未经授权不得开展与科技和创新型中小企业、专精特新中小企业、专精特新“小巨人”企业有关的认定、授牌等活动。</w:t>
      </w:r>
    </w:p>
    <w:p w14:paraId="5797D97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第四条</w:t>
      </w:r>
      <w:r>
        <w:rPr>
          <w:rFonts w:hint="eastAsia" w:ascii="仿宋_GB2312" w:hAnsi="仿宋_GB2312" w:eastAsia="仿宋_GB2312" w:cs="仿宋_GB2312"/>
          <w:color w:val="000000"/>
          <w:spacing w:val="0"/>
          <w:kern w:val="0"/>
          <w:sz w:val="32"/>
          <w:szCs w:val="32"/>
          <w:lang w:val="en-US" w:eastAsia="zh-CN" w:bidi="ar"/>
        </w:rPr>
        <w:t xml:space="preserve"> 优质中小企业梯度培育工作，坚持落实“两个毫不动摇”，坚持有效市场和有为政府相结合，坚持专精特新发展方向，坚持分层分类分级指导，坚持动态管理和精准服务。</w:t>
      </w:r>
    </w:p>
    <w:p w14:paraId="389E80F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第五条</w:t>
      </w:r>
      <w:r>
        <w:rPr>
          <w:rFonts w:hint="eastAsia" w:ascii="仿宋_GB2312" w:hAnsi="仿宋_GB2312" w:eastAsia="仿宋_GB2312" w:cs="仿宋_GB2312"/>
          <w:color w:val="000000"/>
          <w:spacing w:val="0"/>
          <w:kern w:val="0"/>
          <w:sz w:val="32"/>
          <w:szCs w:val="32"/>
          <w:lang w:val="en-US" w:eastAsia="zh-CN" w:bidi="ar"/>
        </w:rPr>
        <w:t xml:space="preserve"> 各级中小企业主管部门应通过培育平台组织开展认定工作，加强服务对接和监测分析，跟踪企业运行、发展态势、意见诉求，以及扶持政策与培育成效，有针对性地制定政策和开展精准服务。落实数字政府建设要求,推动数据互通共享，减轻企业数据填报负担。</w:t>
      </w:r>
    </w:p>
    <w:p w14:paraId="4A8C0A3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pacing w:val="0"/>
          <w:kern w:val="0"/>
          <w:sz w:val="32"/>
          <w:szCs w:val="32"/>
          <w:lang w:val="en-US" w:eastAsia="zh-CN" w:bidi="ar"/>
        </w:rPr>
      </w:pPr>
    </w:p>
    <w:p w14:paraId="3B42C49E">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default" w:ascii="黑体" w:hAnsi="黑体" w:eastAsia="黑体" w:cs="黑体"/>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第二章 认定和推荐</w:t>
      </w:r>
    </w:p>
    <w:p w14:paraId="3B23FBC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spacing w:val="0"/>
          <w:sz w:val="32"/>
          <w:szCs w:val="32"/>
          <w:lang w:val="en-US" w:eastAsia="zh-CN"/>
        </w:rPr>
        <w:t>第六条</w:t>
      </w:r>
      <w:r>
        <w:rPr>
          <w:rFonts w:hint="eastAsia" w:ascii="Times New Roman" w:hAnsi="Times New Roman" w:eastAsia="楷体_GB2312" w:cs="Times New Roman"/>
          <w:spacing w:val="0"/>
          <w:sz w:val="32"/>
          <w:szCs w:val="32"/>
          <w:lang w:val="en-US" w:eastAsia="zh-CN"/>
        </w:rPr>
        <w:t xml:space="preserve"> </w:t>
      </w:r>
      <w:r>
        <w:rPr>
          <w:rFonts w:hint="eastAsia" w:ascii="仿宋_GB2312" w:hAnsi="仿宋_GB2312" w:eastAsia="仿宋_GB2312" w:cs="仿宋_GB2312"/>
          <w:spacing w:val="0"/>
          <w:sz w:val="32"/>
          <w:szCs w:val="32"/>
          <w:lang w:eastAsia="zh-CN"/>
        </w:rPr>
        <w:t>地级市以上中小企业主管部门按照谁推荐、谁把关，谁审核、谁管理方式组织开展优质中小企业认定工作</w:t>
      </w:r>
      <w:r>
        <w:rPr>
          <w:rFonts w:hint="eastAsia" w:ascii="仿宋_GB2312" w:hAnsi="仿宋_GB2312" w:eastAsia="仿宋_GB2312" w:cs="仿宋_GB2312"/>
          <w:color w:val="000000"/>
          <w:spacing w:val="0"/>
          <w:kern w:val="0"/>
          <w:sz w:val="32"/>
          <w:szCs w:val="32"/>
          <w:lang w:val="en-US" w:eastAsia="zh-CN" w:bidi="ar"/>
        </w:rPr>
        <w:t>。</w:t>
      </w:r>
    </w:p>
    <w:p w14:paraId="542254C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kern w:val="0"/>
          <w:sz w:val="32"/>
          <w:szCs w:val="32"/>
          <w:u w:val="single"/>
          <w:lang w:val="en-US" w:eastAsia="zh-CN" w:bidi="ar"/>
        </w:rPr>
      </w:pPr>
      <w:r>
        <w:rPr>
          <w:rFonts w:hint="eastAsia" w:ascii="黑体" w:hAnsi="黑体" w:eastAsia="黑体" w:cs="黑体"/>
          <w:color w:val="000000"/>
          <w:spacing w:val="0"/>
          <w:kern w:val="2"/>
          <w:sz w:val="32"/>
          <w:szCs w:val="32"/>
          <w:lang w:val="en-US" w:eastAsia="zh-CN" w:bidi="ar"/>
        </w:rPr>
        <w:t>第七条</w:t>
      </w:r>
      <w:r>
        <w:rPr>
          <w:rFonts w:hint="eastAsia" w:ascii="仿宋_GB2312" w:hAnsi="仿宋_GB2312" w:eastAsia="仿宋_GB2312" w:cs="仿宋_GB2312"/>
          <w:color w:val="000000"/>
          <w:spacing w:val="0"/>
          <w:kern w:val="0"/>
          <w:sz w:val="32"/>
          <w:szCs w:val="32"/>
          <w:lang w:val="en-US" w:eastAsia="zh-CN" w:bidi="ar"/>
        </w:rPr>
        <w:t xml:space="preserve"> </w:t>
      </w:r>
      <w:r>
        <w:rPr>
          <w:rFonts w:hint="eastAsia" w:ascii="仿宋_GB2312" w:eastAsia="仿宋_GB2312"/>
          <w:spacing w:val="0"/>
          <w:kern w:val="0"/>
          <w:sz w:val="32"/>
          <w:szCs w:val="32"/>
          <w:shd w:val="clear" w:color="auto" w:fill="FFFFFF"/>
          <w:lang w:eastAsia="zh-CN"/>
        </w:rPr>
        <w:t>根据</w:t>
      </w:r>
      <w:r>
        <w:rPr>
          <w:rFonts w:hint="eastAsia" w:ascii="仿宋_GB2312" w:eastAsia="仿宋_GB2312"/>
          <w:spacing w:val="0"/>
          <w:kern w:val="0"/>
          <w:sz w:val="32"/>
          <w:szCs w:val="32"/>
          <w:shd w:val="clear" w:color="auto" w:fill="FFFFFF"/>
        </w:rPr>
        <w:t>工业和信息化部发布的优质中小企业评价和认定标准，</w:t>
      </w:r>
      <w:r>
        <w:rPr>
          <w:rFonts w:hint="eastAsia" w:ascii="仿宋_GB2312" w:eastAsia="仿宋_GB2312"/>
          <w:spacing w:val="0"/>
          <w:kern w:val="0"/>
          <w:sz w:val="32"/>
          <w:szCs w:val="32"/>
          <w:shd w:val="clear" w:color="auto" w:fill="FFFFFF"/>
          <w:lang w:eastAsia="zh-CN"/>
        </w:rPr>
        <w:t>组织对企业申请材料和相关佐证材料进行审核</w:t>
      </w:r>
      <w:r>
        <w:rPr>
          <w:rFonts w:hint="eastAsia" w:ascii="仿宋_GB2312" w:eastAsia="仿宋_GB2312"/>
          <w:spacing w:val="0"/>
          <w:kern w:val="0"/>
          <w:sz w:val="32"/>
          <w:szCs w:val="32"/>
          <w:shd w:val="clear" w:color="auto" w:fill="FFFFFF"/>
          <w:lang w:val="en-US" w:eastAsia="zh-CN"/>
        </w:rPr>
        <w:t>。</w:t>
      </w:r>
      <w:r>
        <w:rPr>
          <w:rFonts w:hint="eastAsia" w:ascii="仿宋_GB2312" w:eastAsia="仿宋_GB2312"/>
          <w:spacing w:val="0"/>
          <w:kern w:val="0"/>
          <w:sz w:val="32"/>
          <w:szCs w:val="32"/>
          <w:shd w:val="clear" w:color="auto" w:fill="FFFFFF"/>
        </w:rPr>
        <w:t>省工业和信息化厅根据工业和信息化部要求，适时更新公布评价</w:t>
      </w:r>
      <w:r>
        <w:rPr>
          <w:rFonts w:hint="eastAsia" w:ascii="仿宋_GB2312" w:eastAsia="仿宋_GB2312"/>
          <w:spacing w:val="0"/>
          <w:kern w:val="0"/>
          <w:sz w:val="32"/>
          <w:szCs w:val="32"/>
          <w:shd w:val="clear" w:color="auto" w:fill="FFFFFF"/>
          <w:lang w:eastAsia="zh-CN"/>
        </w:rPr>
        <w:t>和</w:t>
      </w:r>
      <w:r>
        <w:rPr>
          <w:rFonts w:hint="eastAsia" w:ascii="仿宋_GB2312" w:eastAsia="仿宋_GB2312"/>
          <w:spacing w:val="0"/>
          <w:kern w:val="0"/>
          <w:sz w:val="32"/>
          <w:szCs w:val="32"/>
          <w:shd w:val="clear" w:color="auto" w:fill="FFFFFF"/>
        </w:rPr>
        <w:t>认定标准</w:t>
      </w:r>
      <w:r>
        <w:rPr>
          <w:rFonts w:hint="eastAsia" w:ascii="仿宋_GB2312" w:eastAsia="仿宋_GB2312"/>
          <w:spacing w:val="0"/>
          <w:kern w:val="0"/>
          <w:sz w:val="32"/>
          <w:szCs w:val="32"/>
          <w:shd w:val="clear" w:color="auto" w:fill="FFFFFF"/>
          <w:lang w:eastAsia="zh-CN"/>
        </w:rPr>
        <w:t>，以及《部分指标和要求说明》</w:t>
      </w:r>
      <w:r>
        <w:rPr>
          <w:rFonts w:hint="eastAsia" w:ascii="仿宋_GB2312" w:eastAsia="仿宋_GB2312"/>
          <w:spacing w:val="0"/>
          <w:kern w:val="0"/>
          <w:sz w:val="32"/>
          <w:szCs w:val="32"/>
          <w:shd w:val="clear" w:color="auto" w:fill="FFFFFF"/>
        </w:rPr>
        <w:t>。</w:t>
      </w:r>
      <w:r>
        <w:rPr>
          <w:rFonts w:hint="eastAsia" w:ascii="仿宋_GB2312" w:eastAsia="仿宋_GB2312"/>
          <w:spacing w:val="0"/>
          <w:kern w:val="0"/>
          <w:sz w:val="32"/>
          <w:szCs w:val="32"/>
          <w:shd w:val="clear" w:color="auto" w:fill="FFFFFF"/>
          <w:lang w:eastAsia="zh-CN"/>
        </w:rPr>
        <w:t>（附件</w:t>
      </w:r>
      <w:r>
        <w:rPr>
          <w:rFonts w:hint="eastAsia" w:ascii="Times New Roman" w:hAnsi="Times New Roman" w:eastAsia="仿宋" w:cs="Times New Roman"/>
          <w:spacing w:val="0"/>
          <w:sz w:val="32"/>
          <w:szCs w:val="32"/>
          <w:lang w:val="en-US" w:eastAsia="zh-CN"/>
        </w:rPr>
        <w:t>2-1、2-2、2-3</w:t>
      </w:r>
      <w:r>
        <w:rPr>
          <w:rFonts w:hint="eastAsia" w:ascii="仿宋_GB2312" w:eastAsia="仿宋_GB2312"/>
          <w:spacing w:val="0"/>
          <w:kern w:val="0"/>
          <w:sz w:val="32"/>
          <w:szCs w:val="32"/>
          <w:shd w:val="clear" w:color="auto" w:fill="FFFFFF"/>
          <w:lang w:eastAsia="zh-CN"/>
        </w:rPr>
        <w:t>）</w:t>
      </w:r>
    </w:p>
    <w:p w14:paraId="308C422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lang w:val="en-US" w:eastAsia="zh-CN"/>
        </w:rPr>
      </w:pPr>
      <w:r>
        <w:rPr>
          <w:rFonts w:hint="eastAsia" w:ascii="黑体" w:hAnsi="黑体" w:eastAsia="黑体" w:cs="黑体"/>
          <w:spacing w:val="0"/>
          <w:sz w:val="32"/>
          <w:szCs w:val="32"/>
          <w:lang w:val="en-US" w:eastAsia="zh-CN"/>
        </w:rPr>
        <w:t>第八条</w:t>
      </w:r>
      <w:r>
        <w:rPr>
          <w:rFonts w:hint="eastAsia" w:ascii="Times New Roman" w:hAnsi="Times New Roman" w:eastAsia="楷体_GB2312" w:cs="Times New Roman"/>
          <w:spacing w:val="0"/>
          <w:sz w:val="32"/>
          <w:szCs w:val="32"/>
          <w:lang w:val="en-US" w:eastAsia="zh-CN"/>
        </w:rPr>
        <w:t xml:space="preserve"> </w:t>
      </w:r>
      <w:r>
        <w:rPr>
          <w:rFonts w:hint="eastAsia" w:ascii="仿宋_GB2312" w:hAnsi="仿宋_GB2312" w:eastAsia="仿宋_GB2312" w:cs="仿宋_GB2312"/>
          <w:spacing w:val="0"/>
          <w:sz w:val="32"/>
          <w:szCs w:val="32"/>
          <w:lang w:val="en-US" w:eastAsia="zh-CN"/>
        </w:rPr>
        <w:t>专精特新中小企业认定</w:t>
      </w:r>
    </w:p>
    <w:p w14:paraId="623BB26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Times New Roman" w:hAnsi="Times New Roman" w:eastAsia="仿宋" w:cs="Times New Roman"/>
          <w:spacing w:val="0"/>
          <w:sz w:val="32"/>
          <w:szCs w:val="32"/>
          <w:lang w:val="en-US" w:eastAsia="zh-CN"/>
        </w:rPr>
        <w:t>（一）</w:t>
      </w:r>
      <w:r>
        <w:rPr>
          <w:rFonts w:hint="eastAsia" w:ascii="仿宋_GB2312" w:hAnsi="仿宋_GB2312" w:eastAsia="仿宋_GB2312" w:cs="仿宋_GB2312"/>
          <w:color w:val="000000"/>
          <w:spacing w:val="0"/>
          <w:kern w:val="0"/>
          <w:sz w:val="32"/>
          <w:szCs w:val="32"/>
          <w:lang w:val="en-US" w:eastAsia="zh-CN" w:bidi="ar"/>
        </w:rPr>
        <w:t>由科技和创新型中小企业按属地原则自愿申报，登录优质中小企业梯度培育平台提出申请，并作出真实性声明和合规经营承诺。</w:t>
      </w:r>
    </w:p>
    <w:p w14:paraId="71DE47E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i w:val="0"/>
          <w:iCs w:val="0"/>
          <w:color w:val="000000"/>
          <w:spacing w:val="0"/>
          <w:kern w:val="0"/>
          <w:sz w:val="32"/>
          <w:szCs w:val="32"/>
          <w:u w:val="none"/>
          <w:lang w:val="en-US" w:eastAsia="zh-CN" w:bidi="ar"/>
        </w:rPr>
      </w:pPr>
      <w:r>
        <w:rPr>
          <w:rFonts w:hint="eastAsia" w:ascii="Times New Roman" w:hAnsi="Times New Roman" w:eastAsia="仿宋" w:cs="Times New Roman"/>
          <w:i w:val="0"/>
          <w:iCs w:val="0"/>
          <w:spacing w:val="0"/>
          <w:sz w:val="32"/>
          <w:szCs w:val="32"/>
          <w:highlight w:val="none"/>
          <w:u w:val="none"/>
          <w:lang w:val="en-US" w:eastAsia="zh-CN"/>
        </w:rPr>
        <w:t>（二）</w:t>
      </w:r>
      <w:r>
        <w:rPr>
          <w:rFonts w:hint="eastAsia" w:ascii="仿宋_GB2312" w:hAnsi="仿宋_GB2312" w:eastAsia="仿宋_GB2312" w:cs="仿宋_GB2312"/>
          <w:i w:val="0"/>
          <w:iCs w:val="0"/>
          <w:color w:val="auto"/>
          <w:spacing w:val="0"/>
          <w:kern w:val="0"/>
          <w:sz w:val="32"/>
          <w:szCs w:val="32"/>
          <w:highlight w:val="none"/>
          <w:u w:val="none"/>
          <w:lang w:val="en-US" w:eastAsia="zh-CN" w:bidi="ar"/>
        </w:rPr>
        <w:t>地级以上市中</w:t>
      </w:r>
      <w:r>
        <w:rPr>
          <w:rFonts w:hint="eastAsia" w:ascii="仿宋_GB2312" w:hAnsi="仿宋_GB2312" w:eastAsia="仿宋_GB2312" w:cs="仿宋_GB2312"/>
          <w:i w:val="0"/>
          <w:iCs w:val="0"/>
          <w:color w:val="000000"/>
          <w:spacing w:val="0"/>
          <w:kern w:val="0"/>
          <w:sz w:val="32"/>
          <w:szCs w:val="32"/>
          <w:highlight w:val="none"/>
          <w:u w:val="none"/>
          <w:lang w:val="en-US" w:eastAsia="zh-CN" w:bidi="ar"/>
        </w:rPr>
        <w:t>小企业主管部门登录信用中国和国家企业信用信息公示系统查询企业合规经营情况，可根据工作实际就合规经营情况征求网信、发展改革、生态环境、应急管理、市场监管等相关职能部门意见，对企业申请材料和相关佐证材料进行审核、实地抽查和公示</w:t>
      </w:r>
      <w:r>
        <w:rPr>
          <w:rFonts w:hint="eastAsia" w:ascii="仿宋_GB2312" w:hAnsi="仿宋_GB2312" w:eastAsia="仿宋_GB2312" w:cs="仿宋_GB2312"/>
          <w:i w:val="0"/>
          <w:iCs w:val="0"/>
          <w:color w:val="auto"/>
          <w:spacing w:val="0"/>
          <w:kern w:val="0"/>
          <w:sz w:val="32"/>
          <w:szCs w:val="32"/>
          <w:highlight w:val="none"/>
          <w:u w:val="none"/>
          <w:lang w:val="en-US" w:eastAsia="zh-CN" w:bidi="ar"/>
        </w:rPr>
        <w:t>，公示无异议的，报送省工业和信息化厅，由省工业和信息化厅抽查、认定为专精特新中小企业。</w:t>
      </w:r>
    </w:p>
    <w:p w14:paraId="237A726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lang w:val="en-US" w:eastAsia="zh-CN"/>
        </w:rPr>
      </w:pPr>
      <w:r>
        <w:rPr>
          <w:rFonts w:hint="eastAsia" w:ascii="黑体" w:hAnsi="黑体" w:eastAsia="黑体" w:cs="黑体"/>
          <w:spacing w:val="0"/>
          <w:sz w:val="32"/>
          <w:szCs w:val="32"/>
          <w:lang w:val="en-US" w:eastAsia="zh-CN"/>
        </w:rPr>
        <w:t>第九条</w:t>
      </w:r>
      <w:r>
        <w:rPr>
          <w:rFonts w:hint="eastAsia" w:ascii="Times New Roman" w:hAnsi="Times New Roman" w:eastAsia="仿宋" w:cs="Times New Roman"/>
          <w:spacing w:val="0"/>
          <w:sz w:val="32"/>
          <w:szCs w:val="32"/>
          <w:lang w:val="en-US" w:eastAsia="zh-CN"/>
        </w:rPr>
        <w:t xml:space="preserve"> </w:t>
      </w:r>
      <w:r>
        <w:rPr>
          <w:rFonts w:hint="eastAsia" w:ascii="仿宋_GB2312" w:hAnsi="仿宋_GB2312" w:eastAsia="仿宋_GB2312" w:cs="仿宋_GB2312"/>
          <w:spacing w:val="0"/>
          <w:sz w:val="32"/>
          <w:szCs w:val="32"/>
          <w:lang w:val="en-US" w:eastAsia="zh-CN"/>
        </w:rPr>
        <w:t>专精特新“小巨人”企业推荐</w:t>
      </w:r>
    </w:p>
    <w:p w14:paraId="2EBC8D6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Times New Roman" w:hAnsi="Times New Roman" w:eastAsia="仿宋" w:cs="Times New Roman"/>
          <w:spacing w:val="0"/>
          <w:sz w:val="32"/>
          <w:szCs w:val="32"/>
          <w:lang w:val="en-US" w:eastAsia="zh-CN"/>
        </w:rPr>
        <w:t>（一）</w:t>
      </w:r>
      <w:r>
        <w:rPr>
          <w:rFonts w:hint="eastAsia" w:ascii="仿宋_GB2312" w:hAnsi="仿宋_GB2312" w:eastAsia="仿宋_GB2312" w:cs="仿宋_GB2312"/>
          <w:color w:val="000000"/>
          <w:spacing w:val="0"/>
          <w:kern w:val="0"/>
          <w:sz w:val="32"/>
          <w:szCs w:val="32"/>
          <w:lang w:val="en-US" w:eastAsia="zh-CN" w:bidi="ar"/>
        </w:rPr>
        <w:t>由</w:t>
      </w:r>
      <w:r>
        <w:rPr>
          <w:rFonts w:ascii="仿宋_GB2312" w:hAnsi="仿宋_GB2312" w:eastAsia="仿宋_GB2312" w:cs="仿宋_GB2312"/>
          <w:color w:val="000000"/>
          <w:spacing w:val="0"/>
          <w:kern w:val="0"/>
          <w:sz w:val="32"/>
          <w:szCs w:val="32"/>
          <w:lang w:val="en-US" w:eastAsia="zh-CN" w:bidi="ar"/>
        </w:rPr>
        <w:t>专精特新中小企业</w:t>
      </w:r>
      <w:r>
        <w:rPr>
          <w:rFonts w:hint="eastAsia" w:ascii="仿宋_GB2312" w:hAnsi="仿宋_GB2312" w:eastAsia="仿宋_GB2312" w:cs="仿宋_GB2312"/>
          <w:color w:val="000000"/>
          <w:spacing w:val="0"/>
          <w:kern w:val="0"/>
          <w:sz w:val="32"/>
          <w:szCs w:val="32"/>
          <w:lang w:val="en-US" w:eastAsia="zh-CN" w:bidi="ar"/>
        </w:rPr>
        <w:t>按属地原则自愿申报，登录培育平台提出申请，并作出真实性声明和合规经营承诺。</w:t>
      </w:r>
    </w:p>
    <w:p w14:paraId="5CC6D1A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Times New Roman" w:hAnsi="Times New Roman" w:eastAsia="仿宋" w:cs="Times New Roman"/>
          <w:spacing w:val="0"/>
          <w:sz w:val="32"/>
          <w:szCs w:val="32"/>
          <w:lang w:val="en-US" w:eastAsia="zh-CN"/>
        </w:rPr>
        <w:t>（二）</w:t>
      </w:r>
      <w:r>
        <w:rPr>
          <w:rFonts w:hint="eastAsia" w:ascii="仿宋_GB2312" w:hAnsi="仿宋_GB2312" w:eastAsia="仿宋_GB2312" w:cs="仿宋_GB2312"/>
          <w:color w:val="000000"/>
          <w:spacing w:val="0"/>
          <w:kern w:val="0"/>
          <w:sz w:val="32"/>
          <w:szCs w:val="32"/>
          <w:lang w:val="en-US" w:eastAsia="zh-CN" w:bidi="ar"/>
        </w:rPr>
        <w:t>地级以上市中小企业主管部门协助对企业</w:t>
      </w:r>
      <w:r>
        <w:rPr>
          <w:rFonts w:hint="eastAsia" w:ascii="仿宋_GB2312" w:hAnsi="仿宋_GB2312" w:eastAsia="仿宋_GB2312" w:cs="仿宋_GB2312"/>
          <w:color w:val="000000"/>
          <w:spacing w:val="0"/>
          <w:kern w:val="0"/>
          <w:sz w:val="31"/>
          <w:szCs w:val="31"/>
          <w:lang w:val="en-US" w:eastAsia="zh-CN" w:bidi="ar"/>
        </w:rPr>
        <w:t>申请材料和相关佐证材料进行初审、实地抽查，</w:t>
      </w:r>
      <w:r>
        <w:rPr>
          <w:rFonts w:hint="eastAsia" w:ascii="仿宋_GB2312" w:hAnsi="仿宋_GB2312" w:eastAsia="仿宋_GB2312" w:cs="仿宋_GB2312"/>
          <w:color w:val="auto"/>
          <w:spacing w:val="0"/>
          <w:kern w:val="0"/>
          <w:sz w:val="32"/>
          <w:szCs w:val="32"/>
          <w:lang w:val="en-US" w:eastAsia="zh-CN" w:bidi="ar"/>
        </w:rPr>
        <w:t>并加具意见报送</w:t>
      </w:r>
      <w:r>
        <w:rPr>
          <w:rFonts w:hint="eastAsia" w:ascii="仿宋_GB2312" w:hAnsi="仿宋_GB2312" w:eastAsia="仿宋_GB2312" w:cs="仿宋_GB2312"/>
          <w:color w:val="000000"/>
          <w:spacing w:val="0"/>
          <w:kern w:val="0"/>
          <w:sz w:val="32"/>
          <w:szCs w:val="32"/>
          <w:lang w:val="en-US" w:eastAsia="zh-CN" w:bidi="ar"/>
        </w:rPr>
        <w:t>省工业和信息化厅。</w:t>
      </w:r>
    </w:p>
    <w:p w14:paraId="462C526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i w:val="0"/>
          <w:iCs w:val="0"/>
          <w:color w:val="000000"/>
          <w:spacing w:val="0"/>
          <w:kern w:val="0"/>
          <w:sz w:val="32"/>
          <w:szCs w:val="32"/>
          <w:u w:val="none"/>
          <w:lang w:val="en-US" w:eastAsia="zh-CN" w:bidi="ar"/>
        </w:rPr>
      </w:pPr>
      <w:r>
        <w:rPr>
          <w:rFonts w:hint="eastAsia" w:ascii="Times New Roman" w:hAnsi="Times New Roman" w:eastAsia="仿宋" w:cs="Times New Roman"/>
          <w:spacing w:val="0"/>
          <w:sz w:val="32"/>
          <w:szCs w:val="32"/>
          <w:lang w:val="en-US" w:eastAsia="zh-CN"/>
        </w:rPr>
        <w:t>（三）</w:t>
      </w:r>
      <w:r>
        <w:rPr>
          <w:rFonts w:hint="eastAsia" w:ascii="仿宋_GB2312" w:hAnsi="仿宋_GB2312" w:eastAsia="仿宋_GB2312" w:cs="仿宋_GB2312"/>
          <w:color w:val="000000"/>
          <w:spacing w:val="0"/>
          <w:kern w:val="0"/>
          <w:sz w:val="32"/>
          <w:szCs w:val="32"/>
          <w:lang w:val="en-US" w:eastAsia="zh-CN" w:bidi="ar"/>
        </w:rPr>
        <w:t>省工业和信息化厅登录信用中国和国家企业信用信息公示系统查询企业合规经营情况，</w:t>
      </w:r>
      <w:r>
        <w:rPr>
          <w:rFonts w:hint="eastAsia" w:ascii="仿宋_GB2312" w:hAnsi="仿宋_GB2312" w:eastAsia="仿宋_GB2312" w:cs="仿宋_GB2312"/>
          <w:color w:val="000000"/>
          <w:spacing w:val="0"/>
          <w:kern w:val="0"/>
          <w:sz w:val="31"/>
          <w:szCs w:val="31"/>
          <w:lang w:val="en-US" w:eastAsia="zh-CN" w:bidi="ar"/>
        </w:rPr>
        <w:t>对企业申请材料和相关佐证材料进行审核和公示，</w:t>
      </w:r>
      <w:r>
        <w:rPr>
          <w:rFonts w:hint="eastAsia" w:ascii="仿宋_GB2312" w:hAnsi="仿宋_GB2312" w:eastAsia="仿宋_GB2312" w:cs="仿宋_GB2312"/>
          <w:color w:val="auto"/>
          <w:spacing w:val="0"/>
          <w:kern w:val="0"/>
          <w:sz w:val="32"/>
          <w:szCs w:val="32"/>
          <w:lang w:val="en-US" w:eastAsia="zh-CN" w:bidi="ar"/>
        </w:rPr>
        <w:t>公示通过的，向</w:t>
      </w:r>
      <w:r>
        <w:rPr>
          <w:rFonts w:hint="eastAsia" w:ascii="仿宋_GB2312" w:hAnsi="仿宋_GB2312" w:eastAsia="仿宋_GB2312" w:cs="仿宋_GB2312"/>
          <w:color w:val="000000"/>
          <w:spacing w:val="0"/>
          <w:kern w:val="0"/>
          <w:sz w:val="32"/>
          <w:szCs w:val="32"/>
          <w:lang w:val="en-US" w:eastAsia="zh-CN" w:bidi="ar"/>
        </w:rPr>
        <w:t>工业和信息化部推荐。</w:t>
      </w:r>
    </w:p>
    <w:p w14:paraId="1BF5687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trike w:val="0"/>
          <w:dstrike w:val="0"/>
          <w:spacing w:val="0"/>
          <w:sz w:val="32"/>
          <w:szCs w:val="32"/>
          <w:highlight w:val="none"/>
          <w:lang w:val="en-US" w:eastAsia="zh-CN"/>
        </w:rPr>
      </w:pPr>
      <w:r>
        <w:rPr>
          <w:rFonts w:hint="eastAsia" w:ascii="黑体" w:hAnsi="黑体" w:eastAsia="黑体" w:cs="黑体"/>
          <w:color w:val="000000"/>
          <w:spacing w:val="0"/>
          <w:kern w:val="0"/>
          <w:sz w:val="32"/>
          <w:szCs w:val="32"/>
          <w:lang w:val="en-US" w:eastAsia="zh-CN" w:bidi="ar"/>
        </w:rPr>
        <w:t xml:space="preserve">第十条 </w:t>
      </w:r>
      <w:r>
        <w:rPr>
          <w:rFonts w:hint="eastAsia" w:ascii="仿宋_GB2312" w:hAnsi="仿宋_GB2312" w:eastAsia="仿宋_GB2312" w:cs="仿宋_GB2312"/>
          <w:strike w:val="0"/>
          <w:dstrike w:val="0"/>
          <w:spacing w:val="0"/>
          <w:sz w:val="32"/>
          <w:szCs w:val="32"/>
          <w:highlight w:val="none"/>
          <w:lang w:val="en-US" w:eastAsia="zh-CN"/>
        </w:rPr>
        <w:t>各级中小企业主管部门应建立健全优质中小企业主动发现机制，充分挖掘产业链供应链、股权投资、知识产权、科技奖项、人才引育等数据，常态化发现潜在优质中小企业，定向邀请其参加认定。认定标准不降低。</w:t>
      </w:r>
    </w:p>
    <w:p w14:paraId="6AA3225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第十一条</w:t>
      </w:r>
      <w:r>
        <w:rPr>
          <w:rFonts w:hint="eastAsia" w:ascii="仿宋_GB2312" w:hAnsi="仿宋_GB2312" w:eastAsia="仿宋_GB2312" w:cs="仿宋_GB2312"/>
          <w:color w:val="000000"/>
          <w:spacing w:val="0"/>
          <w:kern w:val="0"/>
          <w:sz w:val="32"/>
          <w:szCs w:val="32"/>
          <w:lang w:val="en-US" w:eastAsia="zh-CN" w:bidi="ar"/>
        </w:rPr>
        <w:t xml:space="preserve"> 在</w:t>
      </w:r>
      <w:r>
        <w:rPr>
          <w:rFonts w:hint="eastAsia" w:ascii="仿宋_GB2312" w:hAnsi="仿宋_GB2312" w:eastAsia="仿宋_GB2312" w:cs="仿宋_GB2312"/>
          <w:color w:val="auto"/>
          <w:spacing w:val="0"/>
          <w:kern w:val="0"/>
          <w:sz w:val="32"/>
          <w:szCs w:val="32"/>
          <w:lang w:val="en-US" w:eastAsia="zh-CN" w:bidi="ar"/>
        </w:rPr>
        <w:t>专精特新中小企业审核和专精特新“小巨人”企业推荐工作中，地级市以上中小企业主管部门应健全审核机制、规范全过程管理，组织专家严格对照认定标准，重点对企业申请材料和数据的真实性、准确性、完整性，以及是否符合认定标准等情况进行审核。应采取“双随机”（随机抽取专家组成多个评审专家组、即时随机派发审核任务）形式开展审核，评审专家组应包含一定数量的产业专家和财务专家。</w:t>
      </w:r>
    </w:p>
    <w:p w14:paraId="3CF6628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highlight w:val="none"/>
          <w:lang w:val="en-US" w:eastAsia="zh-CN" w:bidi="ar"/>
        </w:rPr>
      </w:pPr>
      <w:r>
        <w:rPr>
          <w:rFonts w:hint="eastAsia" w:ascii="黑体" w:hAnsi="黑体" w:eastAsia="黑体" w:cs="黑体"/>
          <w:color w:val="000000"/>
          <w:spacing w:val="0"/>
          <w:kern w:val="0"/>
          <w:sz w:val="32"/>
          <w:szCs w:val="32"/>
          <w:lang w:val="en-US" w:eastAsia="zh-CN" w:bidi="ar"/>
        </w:rPr>
        <w:t>第十二条</w:t>
      </w:r>
      <w:r>
        <w:rPr>
          <w:rFonts w:hint="eastAsia" w:ascii="仿宋_GB2312" w:hAnsi="仿宋_GB2312" w:eastAsia="仿宋_GB2312" w:cs="仿宋_GB2312"/>
          <w:color w:val="000000"/>
          <w:spacing w:val="0"/>
          <w:kern w:val="0"/>
          <w:sz w:val="32"/>
          <w:szCs w:val="32"/>
          <w:lang w:val="en-US" w:eastAsia="zh-CN" w:bidi="ar"/>
        </w:rPr>
        <w:t xml:space="preserve"> 申报企业应在广东省依法设立，符合《中小企业划型标准规定》，遵守国家法律法规和行业规范。申报期间未被列入经营异常名录或严重失信主体名单，提供的产品（服务）不属于国家禁止、限制或淘汰类，同时近三年未发生较大生产安全事故、重大网络和数据安全事件、重大环境违法行为、严重质量问题、严重违反相关行业管理规定</w:t>
      </w:r>
      <w:r>
        <w:rPr>
          <w:rFonts w:hint="eastAsia" w:ascii="仿宋_GB2312" w:hAnsi="仿宋_GB2312" w:eastAsia="仿宋_GB2312" w:cs="仿宋_GB2312"/>
          <w:b w:val="0"/>
          <w:bCs w:val="0"/>
          <w:color w:val="000000"/>
          <w:spacing w:val="0"/>
          <w:kern w:val="0"/>
          <w:sz w:val="32"/>
          <w:szCs w:val="32"/>
          <w:lang w:val="en-US" w:eastAsia="zh-CN" w:bidi="ar"/>
        </w:rPr>
        <w:t>（统称合规经营）</w:t>
      </w:r>
      <w:r>
        <w:rPr>
          <w:rFonts w:hint="eastAsia" w:ascii="仿宋_GB2312" w:hAnsi="仿宋_GB2312" w:eastAsia="仿宋_GB2312" w:cs="仿宋_GB2312"/>
          <w:color w:val="000000"/>
          <w:spacing w:val="0"/>
          <w:kern w:val="0"/>
          <w:sz w:val="32"/>
          <w:szCs w:val="32"/>
          <w:lang w:val="en-US" w:eastAsia="zh-CN" w:bidi="ar"/>
        </w:rPr>
        <w:t>。应自主、如实申报，按要求填写申请表格并提供必要佐证材料。</w:t>
      </w:r>
    </w:p>
    <w:p w14:paraId="6391D8E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 xml:space="preserve">第十三条 </w:t>
      </w:r>
      <w:r>
        <w:rPr>
          <w:rFonts w:hint="eastAsia" w:ascii="仿宋_GB2312" w:hAnsi="仿宋_GB2312" w:eastAsia="仿宋_GB2312" w:cs="仿宋_GB2312"/>
          <w:color w:val="auto"/>
          <w:spacing w:val="0"/>
          <w:kern w:val="0"/>
          <w:sz w:val="32"/>
          <w:szCs w:val="32"/>
          <w:lang w:val="en-US" w:eastAsia="zh-CN" w:bidi="ar"/>
        </w:rPr>
        <w:t>各级中小企业主管部门及其相关支撑单位应加强宣传培训，指导企业做好申报工作，不得以任何名义直接或变相向申报企业收取费用。</w:t>
      </w:r>
    </w:p>
    <w:p w14:paraId="0D12BB2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 xml:space="preserve">第十四条 </w:t>
      </w:r>
      <w:r>
        <w:rPr>
          <w:rFonts w:hint="eastAsia" w:ascii="仿宋_GB2312" w:hAnsi="仿宋_GB2312" w:eastAsia="仿宋_GB2312" w:cs="仿宋_GB2312"/>
          <w:color w:val="auto"/>
          <w:spacing w:val="0"/>
          <w:kern w:val="0"/>
          <w:sz w:val="32"/>
          <w:szCs w:val="32"/>
          <w:lang w:val="en-US" w:eastAsia="zh-CN" w:bidi="ar"/>
        </w:rPr>
        <w:t>各级中小企业主管部门不得将审核认定相关工作委托第三方中介机构承担，应联合相关部门严格防范不良中介机构影响。</w:t>
      </w:r>
    </w:p>
    <w:p w14:paraId="4BE768E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pacing w:val="0"/>
          <w:kern w:val="0"/>
          <w:sz w:val="32"/>
          <w:szCs w:val="32"/>
          <w:lang w:val="en-US" w:eastAsia="zh-CN" w:bidi="ar"/>
        </w:rPr>
      </w:pPr>
      <w:r>
        <w:rPr>
          <w:rFonts w:hint="eastAsia" w:ascii="黑体" w:hAnsi="黑体" w:eastAsia="黑体" w:cs="黑体"/>
          <w:color w:val="auto"/>
          <w:spacing w:val="0"/>
          <w:kern w:val="0"/>
          <w:sz w:val="32"/>
          <w:szCs w:val="32"/>
          <w:lang w:val="en-US" w:eastAsia="zh-CN" w:bidi="ar"/>
        </w:rPr>
        <w:t>第十五条</w:t>
      </w:r>
      <w:r>
        <w:rPr>
          <w:rFonts w:hint="eastAsia" w:ascii="仿宋_GB2312" w:hAnsi="仿宋_GB2312" w:eastAsia="仿宋_GB2312" w:cs="仿宋_GB2312"/>
          <w:color w:val="auto"/>
          <w:spacing w:val="0"/>
          <w:kern w:val="0"/>
          <w:sz w:val="32"/>
          <w:szCs w:val="32"/>
          <w:lang w:val="en-US" w:eastAsia="zh-CN" w:bidi="ar"/>
        </w:rPr>
        <w:t xml:space="preserve"> 专精特新中小企业认定，原则上每年开展不少于一次；专精特新“小巨人”企业推荐，按照工业和信息化部通知执行。</w:t>
      </w:r>
    </w:p>
    <w:p w14:paraId="7C778DB1">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spacing w:val="0"/>
          <w:sz w:val="32"/>
          <w:szCs w:val="32"/>
          <w:lang w:val="en-US" w:eastAsia="zh-CN"/>
        </w:rPr>
      </w:pPr>
    </w:p>
    <w:p w14:paraId="3D725F2F">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default"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第三章 动态管理</w:t>
      </w:r>
    </w:p>
    <w:p w14:paraId="538FFE0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pacing w:val="0"/>
          <w:kern w:val="0"/>
          <w:sz w:val="32"/>
          <w:szCs w:val="32"/>
          <w:lang w:val="en-US" w:eastAsia="zh-CN" w:bidi="ar"/>
        </w:rPr>
      </w:pPr>
      <w:r>
        <w:rPr>
          <w:rFonts w:hint="eastAsia" w:ascii="黑体" w:hAnsi="黑体" w:eastAsia="黑体" w:cs="黑体"/>
          <w:spacing w:val="0"/>
          <w:sz w:val="32"/>
          <w:szCs w:val="32"/>
          <w:lang w:val="en-US" w:eastAsia="zh-CN"/>
        </w:rPr>
        <w:t xml:space="preserve">第十六条 </w:t>
      </w:r>
      <w:r>
        <w:rPr>
          <w:rFonts w:hint="eastAsia" w:ascii="仿宋_GB2312" w:hAnsi="仿宋_GB2312" w:eastAsia="仿宋_GB2312" w:cs="仿宋_GB2312"/>
          <w:color w:val="auto"/>
          <w:spacing w:val="0"/>
          <w:kern w:val="0"/>
          <w:sz w:val="32"/>
          <w:szCs w:val="32"/>
          <w:lang w:val="en-US" w:eastAsia="zh-CN" w:bidi="ar"/>
        </w:rPr>
        <w:t>省级中小企业主管部门应会同相关部门强化对优质中小企业的运行监测，挖掘利用好金融、信用、司法等各类数据信息，建立健全有进有出的动态管理机制，持续提高优质中小企业发展质量。</w:t>
      </w:r>
    </w:p>
    <w:p w14:paraId="4903D1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pacing w:val="0"/>
          <w:kern w:val="0"/>
          <w:sz w:val="32"/>
          <w:szCs w:val="32"/>
          <w:u w:val="none"/>
          <w:lang w:val="en-US" w:eastAsia="zh-CN" w:bidi="ar"/>
        </w:rPr>
      </w:pPr>
      <w:r>
        <w:rPr>
          <w:rFonts w:hint="eastAsia" w:ascii="黑体" w:hAnsi="黑体" w:eastAsia="黑体" w:cs="黑体"/>
          <w:spacing w:val="0"/>
          <w:sz w:val="32"/>
          <w:szCs w:val="32"/>
          <w:lang w:val="en-US" w:eastAsia="zh-CN"/>
        </w:rPr>
        <w:t>第十七条</w:t>
      </w:r>
      <w:r>
        <w:rPr>
          <w:rFonts w:hint="eastAsia" w:ascii="Times New Roman" w:hAnsi="Times New Roman" w:eastAsia="楷体_GB2312" w:cs="Times New Roman"/>
          <w:strike w:val="0"/>
          <w:dstrike w:val="0"/>
          <w:spacing w:val="0"/>
          <w:sz w:val="32"/>
          <w:szCs w:val="32"/>
          <w:highlight w:val="none"/>
          <w:lang w:val="en-US" w:eastAsia="zh-CN"/>
        </w:rPr>
        <w:t xml:space="preserve"> </w:t>
      </w:r>
      <w:r>
        <w:rPr>
          <w:rFonts w:hint="eastAsia" w:ascii="仿宋_GB2312" w:hAnsi="仿宋_GB2312" w:eastAsia="仿宋_GB2312" w:cs="仿宋_GB2312"/>
          <w:strike w:val="0"/>
          <w:dstrike w:val="0"/>
          <w:color w:val="auto"/>
          <w:spacing w:val="0"/>
          <w:kern w:val="0"/>
          <w:sz w:val="32"/>
          <w:szCs w:val="32"/>
          <w:highlight w:val="none"/>
          <w:u w:val="none"/>
          <w:lang w:val="en-US" w:eastAsia="zh-CN" w:bidi="ar"/>
        </w:rPr>
        <w:t>经认定的专精特新中小企业有效期</w:t>
      </w:r>
      <w:r>
        <w:rPr>
          <w:rFonts w:hint="eastAsia" w:ascii="Times New Roman" w:hAnsi="Times New Roman" w:eastAsia="仿宋" w:cs="Times New Roman"/>
          <w:spacing w:val="0"/>
          <w:sz w:val="32"/>
          <w:szCs w:val="32"/>
          <w:lang w:val="en-US" w:eastAsia="zh-CN"/>
        </w:rPr>
        <w:t>3</w:t>
      </w:r>
      <w:r>
        <w:rPr>
          <w:rFonts w:hint="eastAsia" w:ascii="仿宋_GB2312" w:hAnsi="仿宋_GB2312" w:eastAsia="仿宋_GB2312" w:cs="仿宋_GB2312"/>
          <w:strike w:val="0"/>
          <w:dstrike w:val="0"/>
          <w:color w:val="auto"/>
          <w:spacing w:val="0"/>
          <w:kern w:val="0"/>
          <w:sz w:val="32"/>
          <w:szCs w:val="32"/>
          <w:highlight w:val="none"/>
          <w:u w:val="none"/>
          <w:lang w:val="en-US" w:eastAsia="zh-CN" w:bidi="ar"/>
        </w:rPr>
        <w:t>年，</w:t>
      </w:r>
      <w:r>
        <w:rPr>
          <w:rFonts w:hint="eastAsia" w:ascii="仿宋_GB2312" w:eastAsia="仿宋_GB2312"/>
          <w:strike w:val="0"/>
          <w:dstrike w:val="0"/>
          <w:spacing w:val="0"/>
          <w:kern w:val="0"/>
          <w:sz w:val="32"/>
          <w:szCs w:val="32"/>
          <w:u w:val="none"/>
          <w:shd w:val="clear" w:color="auto" w:fill="FFFFFF"/>
          <w:lang w:eastAsia="zh-CN"/>
        </w:rPr>
        <w:t>到期复核按照本细则认定执行，复核通过的，有效期延长</w:t>
      </w:r>
      <w:r>
        <w:rPr>
          <w:rFonts w:hint="eastAsia" w:ascii="Times New Roman" w:hAnsi="Times New Roman" w:eastAsia="仿宋" w:cs="Times New Roman"/>
          <w:spacing w:val="0"/>
          <w:sz w:val="32"/>
          <w:szCs w:val="32"/>
          <w:lang w:val="en-US" w:eastAsia="zh-CN"/>
        </w:rPr>
        <w:t>3</w:t>
      </w:r>
      <w:r>
        <w:rPr>
          <w:rFonts w:hint="eastAsia" w:ascii="仿宋_GB2312" w:eastAsia="仿宋_GB2312"/>
          <w:strike w:val="0"/>
          <w:dstrike w:val="0"/>
          <w:spacing w:val="0"/>
          <w:kern w:val="0"/>
          <w:sz w:val="32"/>
          <w:szCs w:val="32"/>
          <w:u w:val="none"/>
          <w:shd w:val="clear" w:color="auto" w:fill="FFFFFF"/>
          <w:lang w:val="en-US" w:eastAsia="zh-CN"/>
        </w:rPr>
        <w:t>年。</w:t>
      </w:r>
      <w:r>
        <w:rPr>
          <w:rFonts w:hint="eastAsia" w:ascii="仿宋_GB2312" w:hAnsi="仿宋_GB2312" w:eastAsia="仿宋_GB2312" w:cs="仿宋_GB2312"/>
          <w:color w:val="000000"/>
          <w:spacing w:val="0"/>
          <w:kern w:val="0"/>
          <w:sz w:val="32"/>
          <w:szCs w:val="32"/>
          <w:u w:val="none"/>
          <w:lang w:val="en-US" w:eastAsia="zh-CN" w:bidi="ar"/>
        </w:rPr>
        <w:t>为加强政策衔接，在复核期间，原名单继续有效；在复核名单发布后，原名单自动失效，以复核通过的名单内企业为准。</w:t>
      </w:r>
    </w:p>
    <w:p w14:paraId="481A391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第十八条</w:t>
      </w:r>
      <w:r>
        <w:rPr>
          <w:rFonts w:hint="eastAsia" w:ascii="仿宋_GB2312" w:hAnsi="仿宋_GB2312" w:eastAsia="仿宋_GB2312" w:cs="仿宋_GB2312"/>
          <w:color w:val="000000"/>
          <w:spacing w:val="0"/>
          <w:kern w:val="0"/>
          <w:sz w:val="32"/>
          <w:szCs w:val="32"/>
          <w:lang w:val="en-US" w:eastAsia="zh-CN" w:bidi="ar"/>
        </w:rPr>
        <w:t xml:space="preserve"> </w:t>
      </w:r>
      <w:r>
        <w:rPr>
          <w:rFonts w:ascii="仿宋_GB2312" w:hAnsi="仿宋_GB2312" w:eastAsia="仿宋_GB2312" w:cs="仿宋_GB2312"/>
          <w:color w:val="000000"/>
          <w:spacing w:val="0"/>
          <w:kern w:val="0"/>
          <w:sz w:val="32"/>
          <w:szCs w:val="32"/>
          <w:lang w:val="en-US" w:eastAsia="zh-CN" w:bidi="ar"/>
        </w:rPr>
        <w:t>有效期内的</w:t>
      </w:r>
      <w:r>
        <w:rPr>
          <w:rFonts w:hint="eastAsia" w:ascii="仿宋_GB2312" w:hAnsi="仿宋_GB2312" w:eastAsia="仿宋_GB2312" w:cs="仿宋_GB2312"/>
          <w:color w:val="auto"/>
          <w:spacing w:val="0"/>
          <w:kern w:val="0"/>
          <w:sz w:val="32"/>
          <w:szCs w:val="32"/>
          <w:lang w:val="en-US" w:eastAsia="zh-CN" w:bidi="ar"/>
        </w:rPr>
        <w:t>专精特新中小企业可登录培育平台查询认定状态和有效期</w:t>
      </w:r>
      <w:r>
        <w:rPr>
          <w:rFonts w:hint="eastAsia" w:ascii="仿宋_GB2312" w:hAnsi="仿宋_GB2312" w:eastAsia="仿宋_GB2312" w:cs="仿宋_GB2312"/>
          <w:color w:val="000000"/>
          <w:spacing w:val="0"/>
          <w:kern w:val="0"/>
          <w:sz w:val="32"/>
          <w:szCs w:val="32"/>
          <w:lang w:val="en-US" w:eastAsia="zh-CN" w:bidi="ar"/>
        </w:rPr>
        <w:t>，</w:t>
      </w:r>
      <w:r>
        <w:rPr>
          <w:rFonts w:ascii="仿宋_GB2312" w:hAnsi="仿宋_GB2312" w:eastAsia="仿宋_GB2312" w:cs="仿宋_GB2312"/>
          <w:color w:val="000000"/>
          <w:spacing w:val="0"/>
          <w:kern w:val="0"/>
          <w:sz w:val="32"/>
          <w:szCs w:val="32"/>
          <w:lang w:val="en-US" w:eastAsia="zh-CN" w:bidi="ar"/>
        </w:rPr>
        <w:t>应在每年</w:t>
      </w:r>
      <w:r>
        <w:rPr>
          <w:rFonts w:hint="eastAsia" w:ascii="Times New Roman" w:hAnsi="Times New Roman" w:eastAsia="仿宋" w:cs="Times New Roman"/>
          <w:spacing w:val="0"/>
          <w:sz w:val="32"/>
          <w:szCs w:val="32"/>
          <w:lang w:val="en-US" w:eastAsia="zh-CN"/>
        </w:rPr>
        <w:t>5</w:t>
      </w:r>
      <w:r>
        <w:rPr>
          <w:rFonts w:ascii="仿宋_GB2312" w:hAnsi="仿宋_GB2312" w:eastAsia="仿宋_GB2312" w:cs="仿宋_GB2312"/>
          <w:color w:val="000000"/>
          <w:spacing w:val="0"/>
          <w:kern w:val="0"/>
          <w:sz w:val="32"/>
          <w:szCs w:val="32"/>
          <w:lang w:val="en-US" w:eastAsia="zh-CN" w:bidi="ar"/>
        </w:rPr>
        <w:t>月</w:t>
      </w:r>
      <w:r>
        <w:rPr>
          <w:rFonts w:hint="default" w:ascii="Times New Roman" w:hAnsi="Times New Roman" w:eastAsia="仿宋" w:cs="Times New Roman"/>
          <w:spacing w:val="0"/>
          <w:sz w:val="32"/>
          <w:szCs w:val="32"/>
          <w:lang w:val="en-US" w:eastAsia="zh-CN"/>
        </w:rPr>
        <w:t>3</w:t>
      </w:r>
      <w:r>
        <w:rPr>
          <w:rFonts w:hint="eastAsia" w:ascii="Times New Roman" w:hAnsi="Times New Roman" w:eastAsia="仿宋" w:cs="Times New Roman"/>
          <w:spacing w:val="0"/>
          <w:sz w:val="32"/>
          <w:szCs w:val="32"/>
          <w:lang w:val="en-US" w:eastAsia="zh-CN"/>
        </w:rPr>
        <w:t>1</w:t>
      </w:r>
      <w:r>
        <w:rPr>
          <w:rFonts w:ascii="仿宋_GB2312" w:hAnsi="仿宋_GB2312" w:eastAsia="仿宋_GB2312" w:cs="仿宋_GB2312"/>
          <w:color w:val="000000"/>
          <w:spacing w:val="0"/>
          <w:kern w:val="0"/>
          <w:sz w:val="32"/>
          <w:szCs w:val="32"/>
          <w:lang w:val="en-US" w:eastAsia="zh-CN" w:bidi="ar"/>
        </w:rPr>
        <w:t>日前通过培育平台更新企业信息</w:t>
      </w:r>
      <w:r>
        <w:rPr>
          <w:rFonts w:hint="eastAsia" w:ascii="仿宋_GB2312" w:hAnsi="仿宋_GB2312" w:eastAsia="仿宋_GB2312" w:cs="仿宋_GB2312"/>
          <w:color w:val="000000"/>
          <w:spacing w:val="0"/>
          <w:kern w:val="0"/>
          <w:sz w:val="32"/>
          <w:szCs w:val="32"/>
          <w:lang w:val="en-US" w:eastAsia="zh-CN" w:bidi="ar"/>
        </w:rPr>
        <w:t>。在同一个有效期内，对首次未进行更新的企业，重点监测；对累计达两次未更新的企业，</w:t>
      </w:r>
      <w:r>
        <w:rPr>
          <w:rFonts w:ascii="仿宋_GB2312" w:hAnsi="仿宋_GB2312" w:eastAsia="仿宋_GB2312" w:cs="仿宋_GB2312"/>
          <w:color w:val="000000"/>
          <w:spacing w:val="0"/>
          <w:kern w:val="0"/>
          <w:sz w:val="32"/>
          <w:szCs w:val="32"/>
          <w:lang w:val="en-US" w:eastAsia="zh-CN" w:bidi="ar"/>
        </w:rPr>
        <w:t>取消</w:t>
      </w:r>
      <w:r>
        <w:rPr>
          <w:rFonts w:hint="eastAsia" w:ascii="仿宋_GB2312" w:hAnsi="仿宋_GB2312" w:eastAsia="仿宋_GB2312" w:cs="仿宋_GB2312"/>
          <w:color w:val="000000"/>
          <w:spacing w:val="0"/>
          <w:kern w:val="0"/>
          <w:sz w:val="32"/>
          <w:szCs w:val="32"/>
          <w:lang w:val="en-US" w:eastAsia="zh-CN" w:bidi="ar"/>
        </w:rPr>
        <w:t>认定。</w:t>
      </w:r>
    </w:p>
    <w:p w14:paraId="18A3207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第十九条</w:t>
      </w:r>
      <w:r>
        <w:rPr>
          <w:rFonts w:hint="eastAsia" w:ascii="仿宋_GB2312" w:hAnsi="仿宋_GB2312" w:eastAsia="仿宋_GB2312" w:cs="仿宋_GB2312"/>
          <w:color w:val="000000"/>
          <w:spacing w:val="0"/>
          <w:kern w:val="0"/>
          <w:sz w:val="32"/>
          <w:szCs w:val="32"/>
          <w:lang w:val="en-US" w:eastAsia="zh-CN" w:bidi="ar"/>
        </w:rPr>
        <w:t xml:space="preserve"> </w:t>
      </w:r>
      <w:r>
        <w:rPr>
          <w:rFonts w:ascii="仿宋_GB2312" w:hAnsi="仿宋_GB2312" w:eastAsia="仿宋_GB2312" w:cs="仿宋_GB2312"/>
          <w:color w:val="auto"/>
          <w:spacing w:val="0"/>
          <w:kern w:val="0"/>
          <w:sz w:val="32"/>
          <w:szCs w:val="32"/>
          <w:lang w:val="en-US" w:eastAsia="zh-CN" w:bidi="ar"/>
        </w:rPr>
        <w:t>有效期内的</w:t>
      </w:r>
      <w:r>
        <w:rPr>
          <w:rFonts w:hint="eastAsia" w:ascii="仿宋_GB2312" w:hAnsi="仿宋_GB2312" w:eastAsia="仿宋_GB2312" w:cs="仿宋_GB2312"/>
          <w:color w:val="auto"/>
          <w:spacing w:val="0"/>
          <w:kern w:val="0"/>
          <w:sz w:val="32"/>
          <w:szCs w:val="32"/>
          <w:lang w:val="en-US" w:eastAsia="zh-CN" w:bidi="ar"/>
        </w:rPr>
        <w:t>专精特新中小企业，</w:t>
      </w:r>
      <w:r>
        <w:rPr>
          <w:rFonts w:ascii="仿宋_GB2312" w:hAnsi="仿宋_GB2312" w:eastAsia="仿宋_GB2312" w:cs="仿宋_GB2312"/>
          <w:color w:val="auto"/>
          <w:spacing w:val="0"/>
          <w:kern w:val="0"/>
          <w:sz w:val="32"/>
          <w:szCs w:val="32"/>
          <w:lang w:val="en-US" w:eastAsia="zh-CN" w:bidi="ar"/>
        </w:rPr>
        <w:t>如发生合并</w:t>
      </w:r>
      <w:r>
        <w:rPr>
          <w:rFonts w:hint="eastAsia" w:ascii="仿宋_GB2312" w:hAnsi="仿宋_GB2312" w:eastAsia="仿宋_GB2312" w:cs="仿宋_GB2312"/>
          <w:color w:val="auto"/>
          <w:spacing w:val="0"/>
          <w:kern w:val="0"/>
          <w:sz w:val="32"/>
          <w:szCs w:val="32"/>
          <w:lang w:val="en-US" w:eastAsia="zh-CN" w:bidi="ar"/>
        </w:rPr>
        <w:t>、</w:t>
      </w:r>
      <w:r>
        <w:rPr>
          <w:rFonts w:ascii="仿宋_GB2312" w:hAnsi="仿宋_GB2312" w:eastAsia="仿宋_GB2312" w:cs="仿宋_GB2312"/>
          <w:color w:val="auto"/>
          <w:spacing w:val="0"/>
          <w:kern w:val="0"/>
          <w:sz w:val="32"/>
          <w:szCs w:val="32"/>
          <w:lang w:val="en-US" w:eastAsia="zh-CN" w:bidi="ar"/>
        </w:rPr>
        <w:t>重组等与认定条件有关的重大变化</w:t>
      </w:r>
      <w:r>
        <w:rPr>
          <w:rFonts w:hint="eastAsia" w:ascii="仿宋_GB2312" w:hAnsi="仿宋_GB2312" w:eastAsia="仿宋_GB2312" w:cs="仿宋_GB2312"/>
          <w:color w:val="auto"/>
          <w:spacing w:val="0"/>
          <w:kern w:val="0"/>
          <w:sz w:val="32"/>
          <w:szCs w:val="32"/>
          <w:lang w:val="en-US" w:eastAsia="zh-CN" w:bidi="ar"/>
        </w:rPr>
        <w:t>，</w:t>
      </w:r>
      <w:r>
        <w:rPr>
          <w:rFonts w:ascii="仿宋_GB2312" w:hAnsi="仿宋_GB2312" w:eastAsia="仿宋_GB2312" w:cs="仿宋_GB2312"/>
          <w:color w:val="auto"/>
          <w:spacing w:val="0"/>
          <w:kern w:val="0"/>
          <w:sz w:val="32"/>
          <w:szCs w:val="32"/>
          <w:lang w:val="en-US" w:eastAsia="zh-CN" w:bidi="ar"/>
        </w:rPr>
        <w:t>应在发生变化后的</w:t>
      </w:r>
      <w:r>
        <w:rPr>
          <w:rFonts w:hint="default" w:ascii="Times New Roman" w:hAnsi="Times New Roman" w:eastAsia="仿宋" w:cs="Times New Roman"/>
          <w:color w:val="auto"/>
          <w:spacing w:val="0"/>
          <w:sz w:val="32"/>
          <w:szCs w:val="32"/>
          <w:lang w:val="en-US" w:eastAsia="zh-CN"/>
        </w:rPr>
        <w:t>3</w:t>
      </w:r>
      <w:r>
        <w:rPr>
          <w:rFonts w:ascii="仿宋_GB2312" w:hAnsi="仿宋_GB2312" w:eastAsia="仿宋_GB2312" w:cs="仿宋_GB2312"/>
          <w:color w:val="auto"/>
          <w:spacing w:val="0"/>
          <w:kern w:val="0"/>
          <w:sz w:val="32"/>
          <w:szCs w:val="32"/>
          <w:lang w:val="en-US" w:eastAsia="zh-CN" w:bidi="ar"/>
        </w:rPr>
        <w:t>个月内登录培育平台</w:t>
      </w:r>
      <w:r>
        <w:rPr>
          <w:rFonts w:hint="eastAsia" w:ascii="仿宋_GB2312" w:hAnsi="仿宋_GB2312" w:eastAsia="仿宋_GB2312" w:cs="仿宋_GB2312"/>
          <w:color w:val="auto"/>
          <w:spacing w:val="0"/>
          <w:kern w:val="0"/>
          <w:sz w:val="32"/>
          <w:szCs w:val="32"/>
          <w:lang w:val="en-US" w:eastAsia="zh-CN" w:bidi="ar"/>
        </w:rPr>
        <w:t>，</w:t>
      </w:r>
      <w:r>
        <w:rPr>
          <w:rFonts w:ascii="仿宋_GB2312" w:hAnsi="仿宋_GB2312" w:eastAsia="仿宋_GB2312" w:cs="仿宋_GB2312"/>
          <w:color w:val="auto"/>
          <w:spacing w:val="0"/>
          <w:kern w:val="0"/>
          <w:sz w:val="32"/>
          <w:szCs w:val="32"/>
          <w:lang w:val="en-US" w:eastAsia="zh-CN" w:bidi="ar"/>
        </w:rPr>
        <w:t>填写重大变化情况报告表</w:t>
      </w:r>
      <w:r>
        <w:rPr>
          <w:rFonts w:hint="eastAsia" w:ascii="仿宋_GB2312" w:hAnsi="仿宋_GB2312" w:eastAsia="仿宋_GB2312" w:cs="仿宋_GB2312"/>
          <w:color w:val="auto"/>
          <w:spacing w:val="0"/>
          <w:kern w:val="0"/>
          <w:sz w:val="32"/>
          <w:szCs w:val="32"/>
          <w:lang w:val="en-US" w:eastAsia="zh-CN" w:bidi="ar"/>
        </w:rPr>
        <w:t>。</w:t>
      </w:r>
      <w:r>
        <w:rPr>
          <w:rFonts w:ascii="仿宋_GB2312" w:hAnsi="仿宋_GB2312" w:eastAsia="仿宋_GB2312" w:cs="仿宋_GB2312"/>
          <w:color w:val="auto"/>
          <w:spacing w:val="0"/>
          <w:kern w:val="0"/>
          <w:sz w:val="32"/>
          <w:szCs w:val="32"/>
          <w:lang w:val="en-US" w:eastAsia="zh-CN" w:bidi="ar"/>
        </w:rPr>
        <w:t>不再符合认定标准的</w:t>
      </w:r>
      <w:r>
        <w:rPr>
          <w:rFonts w:hint="eastAsia" w:ascii="仿宋_GB2312" w:hAnsi="仿宋_GB2312" w:eastAsia="仿宋_GB2312" w:cs="仿宋_GB2312"/>
          <w:color w:val="auto"/>
          <w:spacing w:val="0"/>
          <w:kern w:val="0"/>
          <w:sz w:val="32"/>
          <w:szCs w:val="32"/>
          <w:lang w:val="en-US" w:eastAsia="zh-CN" w:bidi="ar"/>
        </w:rPr>
        <w:t>专精特新中小企业，由相应中小企业主管部门</w:t>
      </w:r>
      <w:r>
        <w:rPr>
          <w:rFonts w:ascii="仿宋_GB2312" w:hAnsi="仿宋_GB2312" w:eastAsia="仿宋_GB2312" w:cs="仿宋_GB2312"/>
          <w:color w:val="auto"/>
          <w:spacing w:val="0"/>
          <w:kern w:val="0"/>
          <w:sz w:val="32"/>
          <w:szCs w:val="32"/>
          <w:lang w:val="en-US" w:eastAsia="zh-CN" w:bidi="ar"/>
        </w:rPr>
        <w:t>核实后</w:t>
      </w:r>
      <w:r>
        <w:rPr>
          <w:rFonts w:hint="eastAsia" w:ascii="仿宋_GB2312" w:hAnsi="仿宋_GB2312" w:eastAsia="仿宋_GB2312" w:cs="仿宋_GB2312"/>
          <w:color w:val="auto"/>
          <w:spacing w:val="0"/>
          <w:kern w:val="0"/>
          <w:sz w:val="32"/>
          <w:szCs w:val="32"/>
          <w:lang w:val="en-US" w:eastAsia="zh-CN" w:bidi="ar"/>
        </w:rPr>
        <w:t>报省工业和信息化厅，由省工业和信息化厅</w:t>
      </w:r>
      <w:r>
        <w:rPr>
          <w:rFonts w:ascii="仿宋_GB2312" w:hAnsi="仿宋_GB2312" w:eastAsia="仿宋_GB2312" w:cs="仿宋_GB2312"/>
          <w:color w:val="auto"/>
          <w:spacing w:val="0"/>
          <w:kern w:val="0"/>
          <w:sz w:val="32"/>
          <w:szCs w:val="32"/>
          <w:lang w:val="en-US" w:eastAsia="zh-CN" w:bidi="ar"/>
        </w:rPr>
        <w:t>取消</w:t>
      </w:r>
      <w:r>
        <w:rPr>
          <w:rFonts w:hint="eastAsia" w:ascii="仿宋_GB2312" w:hAnsi="仿宋_GB2312" w:eastAsia="仿宋_GB2312" w:cs="仿宋_GB2312"/>
          <w:color w:val="auto"/>
          <w:spacing w:val="0"/>
          <w:kern w:val="0"/>
          <w:sz w:val="32"/>
          <w:szCs w:val="32"/>
          <w:lang w:val="en-US" w:eastAsia="zh-CN" w:bidi="ar"/>
        </w:rPr>
        <w:t>认定。</w:t>
      </w:r>
      <w:r>
        <w:rPr>
          <w:rFonts w:ascii="仿宋_GB2312" w:hAnsi="仿宋_GB2312" w:eastAsia="仿宋_GB2312" w:cs="仿宋_GB2312"/>
          <w:color w:val="auto"/>
          <w:spacing w:val="0"/>
          <w:kern w:val="0"/>
          <w:sz w:val="32"/>
          <w:szCs w:val="32"/>
          <w:lang w:val="en-US" w:eastAsia="zh-CN" w:bidi="ar"/>
        </w:rPr>
        <w:t>对于未报告重大变化情况的</w:t>
      </w:r>
      <w:r>
        <w:rPr>
          <w:rFonts w:hint="eastAsia" w:ascii="仿宋_GB2312" w:hAnsi="仿宋_GB2312" w:eastAsia="仿宋_GB2312" w:cs="仿宋_GB2312"/>
          <w:color w:val="auto"/>
          <w:spacing w:val="0"/>
          <w:kern w:val="0"/>
          <w:sz w:val="32"/>
          <w:szCs w:val="32"/>
          <w:lang w:val="en-US" w:eastAsia="zh-CN" w:bidi="ar"/>
        </w:rPr>
        <w:t>，</w:t>
      </w:r>
      <w:r>
        <w:rPr>
          <w:rFonts w:ascii="仿宋_GB2312" w:hAnsi="仿宋_GB2312" w:eastAsia="仿宋_GB2312" w:cs="仿宋_GB2312"/>
          <w:color w:val="auto"/>
          <w:spacing w:val="0"/>
          <w:kern w:val="0"/>
          <w:sz w:val="32"/>
          <w:szCs w:val="32"/>
          <w:lang w:val="en-US" w:eastAsia="zh-CN" w:bidi="ar"/>
        </w:rPr>
        <w:t>取消复核资格</w:t>
      </w:r>
      <w:r>
        <w:rPr>
          <w:rFonts w:hint="eastAsia" w:ascii="仿宋_GB2312" w:hAnsi="仿宋_GB2312" w:eastAsia="仿宋_GB2312" w:cs="仿宋_GB2312"/>
          <w:color w:val="auto"/>
          <w:spacing w:val="0"/>
          <w:kern w:val="0"/>
          <w:sz w:val="32"/>
          <w:szCs w:val="32"/>
          <w:lang w:val="en-US" w:eastAsia="zh-CN" w:bidi="ar"/>
        </w:rPr>
        <w:t>，</w:t>
      </w:r>
      <w:r>
        <w:rPr>
          <w:rFonts w:ascii="仿宋_GB2312" w:hAnsi="仿宋_GB2312" w:eastAsia="仿宋_GB2312" w:cs="仿宋_GB2312"/>
          <w:color w:val="auto"/>
          <w:spacing w:val="0"/>
          <w:kern w:val="0"/>
          <w:sz w:val="32"/>
          <w:szCs w:val="32"/>
          <w:lang w:val="en-US" w:eastAsia="zh-CN" w:bidi="ar"/>
        </w:rPr>
        <w:t>或取消认定</w:t>
      </w:r>
      <w:r>
        <w:rPr>
          <w:rFonts w:hint="eastAsia" w:ascii="仿宋_GB2312" w:hAnsi="仿宋_GB2312" w:eastAsia="仿宋_GB2312" w:cs="仿宋_GB2312"/>
          <w:color w:val="auto"/>
          <w:spacing w:val="0"/>
          <w:kern w:val="0"/>
          <w:sz w:val="32"/>
          <w:szCs w:val="32"/>
          <w:lang w:val="en-US" w:eastAsia="zh-CN" w:bidi="ar"/>
        </w:rPr>
        <w:t>。</w:t>
      </w:r>
    </w:p>
    <w:p w14:paraId="7E9D499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u w:val="none"/>
          <w:lang w:val="en-US" w:eastAsia="zh-CN" w:bidi="ar"/>
        </w:rPr>
      </w:pPr>
      <w:r>
        <w:rPr>
          <w:rFonts w:hint="eastAsia" w:ascii="黑体" w:hAnsi="黑体" w:eastAsia="黑体" w:cs="黑体"/>
          <w:color w:val="000000"/>
          <w:spacing w:val="0"/>
          <w:kern w:val="0"/>
          <w:sz w:val="32"/>
          <w:szCs w:val="32"/>
          <w:lang w:val="en-US" w:eastAsia="zh-CN" w:bidi="ar"/>
        </w:rPr>
        <w:t>第二十条</w:t>
      </w:r>
      <w:r>
        <w:rPr>
          <w:rFonts w:hint="eastAsia" w:ascii="仿宋_GB2312" w:hAnsi="仿宋_GB2312" w:eastAsia="仿宋_GB2312" w:cs="仿宋_GB2312"/>
          <w:color w:val="000000"/>
          <w:spacing w:val="0"/>
          <w:kern w:val="0"/>
          <w:sz w:val="32"/>
          <w:szCs w:val="32"/>
          <w:lang w:val="en-US" w:eastAsia="zh-CN" w:bidi="ar"/>
        </w:rPr>
        <w:t xml:space="preserve"> </w:t>
      </w:r>
      <w:r>
        <w:rPr>
          <w:rFonts w:ascii="仿宋_GB2312" w:hAnsi="仿宋_GB2312" w:eastAsia="仿宋_GB2312" w:cs="仿宋_GB2312"/>
          <w:color w:val="000000"/>
          <w:spacing w:val="0"/>
          <w:kern w:val="0"/>
          <w:sz w:val="32"/>
          <w:szCs w:val="32"/>
          <w:lang w:val="en-US" w:eastAsia="zh-CN" w:bidi="ar"/>
        </w:rPr>
        <w:t>有效期内的</w:t>
      </w:r>
      <w:r>
        <w:rPr>
          <w:rFonts w:hint="eastAsia" w:ascii="仿宋_GB2312" w:hAnsi="仿宋_GB2312" w:eastAsia="仿宋_GB2312" w:cs="仿宋_GB2312"/>
          <w:color w:val="auto"/>
          <w:spacing w:val="0"/>
          <w:kern w:val="0"/>
          <w:sz w:val="32"/>
          <w:szCs w:val="32"/>
          <w:lang w:val="en-US" w:eastAsia="zh-CN" w:bidi="ar"/>
        </w:rPr>
        <w:t>专精特新中小企业，如发生简单更名，应在</w:t>
      </w:r>
      <w:r>
        <w:rPr>
          <w:rFonts w:hint="eastAsia" w:ascii="Times New Roman" w:hAnsi="Times New Roman" w:eastAsia="仿宋" w:cs="Times New Roman"/>
          <w:spacing w:val="0"/>
          <w:sz w:val="32"/>
          <w:szCs w:val="32"/>
          <w:lang w:val="en-US" w:eastAsia="zh-CN"/>
        </w:rPr>
        <w:t>3</w:t>
      </w:r>
      <w:r>
        <w:rPr>
          <w:rFonts w:hint="eastAsia" w:ascii="仿宋_GB2312" w:hAnsi="仿宋_GB2312" w:eastAsia="仿宋_GB2312" w:cs="仿宋_GB2312"/>
          <w:color w:val="auto"/>
          <w:spacing w:val="0"/>
          <w:kern w:val="0"/>
          <w:sz w:val="32"/>
          <w:szCs w:val="32"/>
          <w:lang w:val="en-US" w:eastAsia="zh-CN" w:bidi="ar"/>
        </w:rPr>
        <w:t>个月内在培育平台上同步完成名称变更申请。如发生跨区域迁移，应在</w:t>
      </w:r>
      <w:r>
        <w:rPr>
          <w:rFonts w:hint="eastAsia" w:ascii="Times New Roman" w:hAnsi="Times New Roman" w:eastAsia="仿宋" w:cs="Times New Roman"/>
          <w:spacing w:val="0"/>
          <w:sz w:val="32"/>
          <w:szCs w:val="32"/>
          <w:lang w:val="en-US" w:eastAsia="zh-CN"/>
        </w:rPr>
        <w:t>3</w:t>
      </w:r>
      <w:r>
        <w:rPr>
          <w:rFonts w:hint="eastAsia" w:ascii="仿宋_GB2312" w:hAnsi="仿宋_GB2312" w:eastAsia="仿宋_GB2312" w:cs="仿宋_GB2312"/>
          <w:color w:val="auto"/>
          <w:spacing w:val="0"/>
          <w:kern w:val="0"/>
          <w:sz w:val="32"/>
          <w:szCs w:val="32"/>
          <w:lang w:val="en-US" w:eastAsia="zh-CN" w:bidi="ar"/>
        </w:rPr>
        <w:t>个月内在培育平台上提交跨区域迁移申请，并与迁入地中小企业主管部门联系。</w:t>
      </w:r>
      <w:r>
        <w:rPr>
          <w:rFonts w:hint="eastAsia" w:ascii="仿宋_GB2312" w:hAnsi="仿宋_GB2312" w:eastAsia="仿宋_GB2312" w:cs="仿宋_GB2312"/>
          <w:color w:val="000000"/>
          <w:spacing w:val="0"/>
          <w:kern w:val="0"/>
          <w:sz w:val="32"/>
          <w:szCs w:val="32"/>
          <w:lang w:val="en-US" w:eastAsia="zh-CN" w:bidi="ar"/>
        </w:rPr>
        <w:t>后续</w:t>
      </w:r>
      <w:r>
        <w:rPr>
          <w:rFonts w:hint="eastAsia" w:ascii="仿宋_GB2312" w:hAnsi="仿宋_GB2312" w:eastAsia="仿宋_GB2312" w:cs="仿宋_GB2312"/>
          <w:color w:val="000000"/>
          <w:spacing w:val="0"/>
          <w:kern w:val="0"/>
          <w:sz w:val="32"/>
          <w:szCs w:val="32"/>
          <w:u w:val="none"/>
          <w:lang w:val="en-US" w:eastAsia="zh-CN" w:bidi="ar"/>
        </w:rPr>
        <w:t>由迁入地中小企业主管部门负责培育管理，迁出地中小企业主管部门应做好配合。</w:t>
      </w:r>
    </w:p>
    <w:p w14:paraId="5840DFC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第二十一条</w:t>
      </w:r>
      <w:r>
        <w:rPr>
          <w:rFonts w:hint="eastAsia" w:ascii="仿宋_GB2312" w:hAnsi="仿宋_GB2312" w:eastAsia="仿宋_GB2312" w:cs="仿宋_GB2312"/>
          <w:color w:val="000000"/>
          <w:spacing w:val="0"/>
          <w:kern w:val="0"/>
          <w:sz w:val="32"/>
          <w:szCs w:val="32"/>
          <w:lang w:val="en-US" w:eastAsia="zh-CN" w:bidi="ar"/>
        </w:rPr>
        <w:t xml:space="preserve"> </w:t>
      </w:r>
      <w:r>
        <w:rPr>
          <w:rFonts w:ascii="仿宋_GB2312" w:hAnsi="仿宋_GB2312" w:eastAsia="仿宋_GB2312" w:cs="仿宋_GB2312"/>
          <w:color w:val="000000"/>
          <w:spacing w:val="0"/>
          <w:kern w:val="0"/>
          <w:sz w:val="32"/>
          <w:szCs w:val="32"/>
          <w:lang w:val="en-US" w:eastAsia="zh-CN" w:bidi="ar"/>
        </w:rPr>
        <w:t>有效期内的</w:t>
      </w:r>
      <w:r>
        <w:rPr>
          <w:rFonts w:hint="eastAsia" w:ascii="仿宋_GB2312" w:hAnsi="仿宋_GB2312" w:eastAsia="仿宋_GB2312" w:cs="仿宋_GB2312"/>
          <w:color w:val="auto"/>
          <w:spacing w:val="0"/>
          <w:kern w:val="0"/>
          <w:sz w:val="32"/>
          <w:szCs w:val="32"/>
          <w:lang w:val="en-US" w:eastAsia="zh-CN" w:bidi="ar"/>
        </w:rPr>
        <w:t>专精特新中小企业</w:t>
      </w:r>
      <w:r>
        <w:rPr>
          <w:rFonts w:hint="eastAsia" w:ascii="仿宋_GB2312" w:hAnsi="仿宋_GB2312" w:eastAsia="仿宋_GB2312" w:cs="仿宋_GB2312"/>
          <w:color w:val="000000"/>
          <w:spacing w:val="0"/>
          <w:kern w:val="0"/>
          <w:sz w:val="32"/>
          <w:szCs w:val="32"/>
          <w:lang w:val="en-US" w:eastAsia="zh-CN" w:bidi="ar"/>
        </w:rPr>
        <w:t>，</w:t>
      </w:r>
      <w:r>
        <w:rPr>
          <w:rFonts w:ascii="仿宋_GB2312" w:hAnsi="仿宋_GB2312" w:eastAsia="仿宋_GB2312" w:cs="仿宋_GB2312"/>
          <w:color w:val="000000"/>
          <w:spacing w:val="0"/>
          <w:kern w:val="0"/>
          <w:sz w:val="32"/>
          <w:szCs w:val="32"/>
          <w:lang w:val="en-US" w:eastAsia="zh-CN" w:bidi="ar"/>
        </w:rPr>
        <w:t>如发生</w:t>
      </w:r>
      <w:r>
        <w:rPr>
          <w:rFonts w:hint="eastAsia" w:ascii="仿宋_GB2312" w:hAnsi="仿宋_GB2312" w:eastAsia="仿宋_GB2312" w:cs="仿宋_GB2312"/>
          <w:color w:val="000000"/>
          <w:spacing w:val="0"/>
          <w:kern w:val="0"/>
          <w:sz w:val="32"/>
          <w:szCs w:val="32"/>
          <w:lang w:val="en-US" w:eastAsia="zh-CN" w:bidi="ar"/>
        </w:rPr>
        <w:t>较大生产安全事故、重大网络和数据安全事件、重大环境违法行为、严重质量问题、严重违反相关行业管理规定、被列入严重失信主体名单，或被发现存在数据造假情形，取消认定且三年内不得再次申报。对取消认定后完成信用修复并移出严重失信主体名单的企业，以及按照行业管理规定要求完成整改并获得相关行业管理部门认可的企业，可以三年内再次申报。</w:t>
      </w:r>
    </w:p>
    <w:p w14:paraId="383A6BF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第二十二条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color w:val="000000"/>
          <w:spacing w:val="0"/>
          <w:kern w:val="0"/>
          <w:sz w:val="32"/>
          <w:szCs w:val="32"/>
          <w:lang w:val="en-US" w:eastAsia="zh-CN" w:bidi="ar"/>
        </w:rPr>
        <w:t>各级中小企业主管部门应完善机制，加强对优质中小企业的风险监测与处置，涉及专精特新中小企业、专精特新“小巨人”企业的重大风险，应及时上报省工业和信息化厅、工业和信息化部。</w:t>
      </w:r>
    </w:p>
    <w:p w14:paraId="34E61A0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spacing w:val="0"/>
          <w:sz w:val="32"/>
          <w:szCs w:val="32"/>
          <w:lang w:val="en-US" w:eastAsia="zh-CN"/>
        </w:rPr>
        <w:t>第二十三条</w:t>
      </w:r>
      <w:r>
        <w:rPr>
          <w:rFonts w:hint="eastAsia" w:ascii="仿宋_GB2312" w:hAnsi="仿宋_GB2312" w:eastAsia="仿宋_GB2312" w:cs="仿宋_GB2312"/>
          <w:spacing w:val="0"/>
          <w:sz w:val="32"/>
          <w:szCs w:val="32"/>
          <w:lang w:val="en-US" w:eastAsia="zh-CN"/>
        </w:rPr>
        <w:t xml:space="preserve"> </w:t>
      </w:r>
      <w:r>
        <w:rPr>
          <w:rFonts w:ascii="仿宋_GB2312" w:hAnsi="仿宋_GB2312" w:eastAsia="仿宋_GB2312" w:cs="仿宋_GB2312"/>
          <w:color w:val="000000"/>
          <w:spacing w:val="0"/>
          <w:kern w:val="0"/>
          <w:sz w:val="32"/>
          <w:szCs w:val="32"/>
          <w:lang w:val="en-US" w:eastAsia="zh-CN" w:bidi="ar"/>
        </w:rPr>
        <w:t>任何组织和个人可针对</w:t>
      </w:r>
      <w:r>
        <w:rPr>
          <w:rFonts w:hint="eastAsia" w:ascii="仿宋_GB2312" w:hAnsi="仿宋_GB2312" w:eastAsia="仿宋_GB2312" w:cs="仿宋_GB2312"/>
          <w:color w:val="auto"/>
          <w:spacing w:val="0"/>
          <w:kern w:val="0"/>
          <w:sz w:val="32"/>
          <w:szCs w:val="32"/>
          <w:lang w:val="en-US" w:eastAsia="zh-CN" w:bidi="ar"/>
        </w:rPr>
        <w:t>优质中小企业</w:t>
      </w:r>
      <w:r>
        <w:rPr>
          <w:rFonts w:ascii="仿宋_GB2312" w:hAnsi="仿宋_GB2312" w:eastAsia="仿宋_GB2312" w:cs="仿宋_GB2312"/>
          <w:color w:val="000000"/>
          <w:spacing w:val="0"/>
          <w:kern w:val="0"/>
          <w:sz w:val="32"/>
          <w:szCs w:val="32"/>
          <w:lang w:val="en-US" w:eastAsia="zh-CN" w:bidi="ar"/>
        </w:rPr>
        <w:t>相关信息真实性</w:t>
      </w:r>
      <w:r>
        <w:rPr>
          <w:rFonts w:hint="eastAsia" w:ascii="仿宋_GB2312" w:hAnsi="仿宋_GB2312" w:eastAsia="仿宋_GB2312" w:cs="仿宋_GB2312"/>
          <w:color w:val="000000"/>
          <w:spacing w:val="0"/>
          <w:kern w:val="0"/>
          <w:sz w:val="32"/>
          <w:szCs w:val="32"/>
          <w:lang w:val="en-US" w:eastAsia="zh-CN" w:bidi="ar"/>
        </w:rPr>
        <w:t>、</w:t>
      </w:r>
      <w:r>
        <w:rPr>
          <w:rFonts w:ascii="仿宋_GB2312" w:hAnsi="仿宋_GB2312" w:eastAsia="仿宋_GB2312" w:cs="仿宋_GB2312"/>
          <w:color w:val="000000"/>
          <w:spacing w:val="0"/>
          <w:kern w:val="0"/>
          <w:sz w:val="32"/>
          <w:szCs w:val="32"/>
          <w:lang w:val="en-US" w:eastAsia="zh-CN" w:bidi="ar"/>
        </w:rPr>
        <w:t>准确性等方面存在的问题</w:t>
      </w:r>
      <w:r>
        <w:rPr>
          <w:rFonts w:hint="eastAsia" w:ascii="仿宋_GB2312" w:hAnsi="仿宋_GB2312" w:eastAsia="仿宋_GB2312" w:cs="仿宋_GB2312"/>
          <w:color w:val="000000"/>
          <w:spacing w:val="0"/>
          <w:kern w:val="0"/>
          <w:sz w:val="32"/>
          <w:szCs w:val="32"/>
          <w:lang w:val="en-US" w:eastAsia="zh-CN" w:bidi="ar"/>
        </w:rPr>
        <w:t>，</w:t>
      </w:r>
      <w:r>
        <w:rPr>
          <w:rFonts w:ascii="仿宋_GB2312" w:hAnsi="仿宋_GB2312" w:eastAsia="仿宋_GB2312" w:cs="仿宋_GB2312"/>
          <w:color w:val="000000"/>
          <w:spacing w:val="0"/>
          <w:kern w:val="0"/>
          <w:sz w:val="32"/>
          <w:szCs w:val="32"/>
          <w:lang w:val="en-US" w:eastAsia="zh-CN" w:bidi="ar"/>
        </w:rPr>
        <w:t>向</w:t>
      </w:r>
      <w:r>
        <w:rPr>
          <w:rFonts w:hint="eastAsia" w:ascii="仿宋_GB2312" w:hAnsi="仿宋_GB2312" w:eastAsia="仿宋_GB2312" w:cs="仿宋_GB2312"/>
          <w:color w:val="000000"/>
          <w:spacing w:val="0"/>
          <w:kern w:val="0"/>
          <w:sz w:val="32"/>
          <w:szCs w:val="32"/>
          <w:lang w:val="en-US" w:eastAsia="zh-CN" w:bidi="ar"/>
        </w:rPr>
        <w:t>负责该企业认定的中小企业主管部门实名举报，并提供佐证材料和联系方式。对受理的举报内容，相应中小企业主管部门应及时向被举报企业核实。被举报企业未按要求回复或经核查举报内容属实的，视情节轻重要求企业整改，或取消认定。</w:t>
      </w:r>
    </w:p>
    <w:p w14:paraId="2006165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spacing w:val="0"/>
          <w:sz w:val="32"/>
          <w:szCs w:val="32"/>
          <w:lang w:val="en-US" w:eastAsia="zh-CN"/>
        </w:rPr>
        <w:t>第二十四条</w:t>
      </w:r>
      <w:r>
        <w:rPr>
          <w:rFonts w:hint="eastAsia" w:ascii="仿宋_GB2312" w:hAnsi="仿宋_GB2312" w:eastAsia="仿宋_GB2312" w:cs="仿宋_GB2312"/>
          <w:spacing w:val="0"/>
          <w:sz w:val="32"/>
          <w:szCs w:val="32"/>
          <w:lang w:val="en-US" w:eastAsia="zh-CN"/>
        </w:rPr>
        <w:t xml:space="preserve"> 专精特新“小巨人”企业的动态管理执行《办法》的有关规定。</w:t>
      </w:r>
    </w:p>
    <w:p w14:paraId="7DEAA383">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color w:val="000000"/>
          <w:spacing w:val="0"/>
          <w:kern w:val="0"/>
          <w:sz w:val="32"/>
          <w:szCs w:val="32"/>
          <w:lang w:val="en-US" w:eastAsia="zh-CN" w:bidi="ar"/>
        </w:rPr>
      </w:pPr>
    </w:p>
    <w:p w14:paraId="212581AF">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default" w:ascii="黑体" w:hAnsi="黑体" w:eastAsia="黑体" w:cs="黑体"/>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第四章 培育服务</w:t>
      </w:r>
    </w:p>
    <w:p w14:paraId="1EC439A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第二十五条</w:t>
      </w:r>
      <w:r>
        <w:rPr>
          <w:rFonts w:hint="eastAsia" w:ascii="仿宋_GB2312" w:hAnsi="仿宋_GB2312" w:eastAsia="仿宋_GB2312" w:cs="仿宋_GB2312"/>
          <w:color w:val="000000"/>
          <w:spacing w:val="0"/>
          <w:kern w:val="0"/>
          <w:sz w:val="32"/>
          <w:szCs w:val="32"/>
          <w:lang w:val="en-US" w:eastAsia="zh-CN" w:bidi="ar"/>
        </w:rPr>
        <w:t xml:space="preserve"> </w:t>
      </w:r>
      <w:r>
        <w:rPr>
          <w:rFonts w:hint="eastAsia" w:ascii="仿宋_GB2312" w:eastAsia="仿宋_GB2312"/>
          <w:spacing w:val="0"/>
          <w:kern w:val="0"/>
          <w:sz w:val="32"/>
          <w:szCs w:val="32"/>
          <w:shd w:val="clear" w:color="auto" w:fill="FFFFFF"/>
        </w:rPr>
        <w:t>积极争取和落实国家、省对专精特新企业的扶持政策。</w:t>
      </w:r>
      <w:r>
        <w:rPr>
          <w:rFonts w:hint="eastAsia" w:ascii="仿宋_GB2312" w:eastAsia="仿宋_GB2312"/>
          <w:color w:val="auto"/>
          <w:spacing w:val="0"/>
          <w:kern w:val="0"/>
          <w:sz w:val="32"/>
          <w:szCs w:val="32"/>
          <w:shd w:val="clear" w:color="auto" w:fill="FFFFFF"/>
        </w:rPr>
        <w:t>省制造业当家重点任务保障等专项资金对符合条件的专精特新企业项目予以支持。</w:t>
      </w:r>
      <w:r>
        <w:rPr>
          <w:rFonts w:hint="eastAsia" w:ascii="仿宋_GB2312" w:eastAsia="仿宋_GB2312"/>
          <w:spacing w:val="0"/>
          <w:kern w:val="0"/>
          <w:sz w:val="32"/>
          <w:szCs w:val="32"/>
          <w:shd w:val="clear" w:color="auto" w:fill="FFFFFF"/>
        </w:rPr>
        <w:t>鼓励各地对专精特新企业给予资金支持。</w:t>
      </w:r>
    </w:p>
    <w:p w14:paraId="012AE60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第二十六条</w:t>
      </w:r>
      <w:r>
        <w:rPr>
          <w:rFonts w:hint="eastAsia" w:ascii="仿宋_GB2312" w:hAnsi="仿宋_GB2312" w:eastAsia="仿宋_GB2312" w:cs="仿宋_GB2312"/>
          <w:color w:val="000000"/>
          <w:spacing w:val="0"/>
          <w:kern w:val="0"/>
          <w:sz w:val="32"/>
          <w:szCs w:val="32"/>
          <w:lang w:val="en-US" w:eastAsia="zh-CN" w:bidi="ar"/>
        </w:rPr>
        <w:t xml:space="preserve"> 引导银行机构针对专精特新企业推出专属融资服务；通过中小企业信贷风险补偿资金促进优质中小企业融资；深化与境内三大证券交易所合作，开展专精特新企业股权融资对接专项行动。</w:t>
      </w:r>
    </w:p>
    <w:p w14:paraId="1353681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第二十七条</w:t>
      </w:r>
      <w:r>
        <w:rPr>
          <w:rFonts w:hint="eastAsia" w:ascii="仿宋_GB2312" w:hAnsi="仿宋_GB2312" w:eastAsia="仿宋_GB2312" w:cs="仿宋_GB2312"/>
          <w:color w:val="000000"/>
          <w:spacing w:val="0"/>
          <w:kern w:val="0"/>
          <w:sz w:val="32"/>
          <w:szCs w:val="32"/>
          <w:lang w:val="en-US" w:eastAsia="zh-CN" w:bidi="ar"/>
        </w:rPr>
        <w:t xml:space="preserve"> 对承担国家和省重大项目的专精特新企业，探索择优赋予急需紧缺高层次人才“揭榜挂帅”或自主举荐名额。建立多层次人才培训体系，实施“新粤商”培训工程，支持专精特新企业高层管理人员参加省内外高级研修班培训。</w:t>
      </w:r>
      <w:r>
        <w:rPr>
          <w:rFonts w:hint="eastAsia" w:ascii="仿宋_GB2312" w:hAnsi="仿宋_GB2312" w:eastAsia="仿宋_GB2312" w:cs="仿宋_GB2312"/>
          <w:color w:val="auto"/>
          <w:spacing w:val="0"/>
          <w:kern w:val="0"/>
          <w:sz w:val="32"/>
          <w:szCs w:val="32"/>
          <w:lang w:val="en-US" w:eastAsia="zh-CN" w:bidi="ar"/>
        </w:rPr>
        <w:t>推动企业加强人才队伍建设，大力支持优质中小企业集聚培育高水平产业人才。</w:t>
      </w:r>
    </w:p>
    <w:p w14:paraId="36891D6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第二十八条</w:t>
      </w:r>
      <w:r>
        <w:rPr>
          <w:rFonts w:hint="eastAsia" w:ascii="仿宋_GB2312" w:hAnsi="仿宋_GB2312" w:eastAsia="仿宋_GB2312" w:cs="仿宋_GB2312"/>
          <w:color w:val="000000"/>
          <w:spacing w:val="0"/>
          <w:kern w:val="0"/>
          <w:sz w:val="32"/>
          <w:szCs w:val="32"/>
          <w:lang w:val="en-US" w:eastAsia="zh-CN" w:bidi="ar"/>
        </w:rPr>
        <w:t xml:space="preserve"> 开展“专精特新万企行”、“一起益企”中小企业服务行动和中小企业服务月活动。优化“粤企政策通”平台建设，开展涉企政策精准推送</w:t>
      </w:r>
      <w:r>
        <w:rPr>
          <w:rFonts w:hint="eastAsia" w:ascii="仿宋_GB2312" w:hAnsi="仿宋_GB2312" w:eastAsia="仿宋_GB2312" w:cs="仿宋_GB2312"/>
          <w:color w:val="auto"/>
          <w:spacing w:val="0"/>
          <w:kern w:val="0"/>
          <w:sz w:val="32"/>
          <w:szCs w:val="32"/>
          <w:lang w:val="en-US" w:eastAsia="zh-CN" w:bidi="ar"/>
        </w:rPr>
        <w:t>。发挥国家中小企业公共服务示范平台（基地）、中小企业特色产业集群、科技型企业孵化器、校企协同育人基地等平台载体作用，组织</w:t>
      </w:r>
      <w:r>
        <w:rPr>
          <w:rFonts w:hint="default" w:ascii="Times New Roman" w:hAnsi="Times New Roman" w:eastAsia="仿宋_GB2312" w:cs="Times New Roman"/>
          <w:sz w:val="32"/>
          <w:szCs w:val="32"/>
          <w:lang w:val="en-US" w:eastAsia="zh-CN"/>
        </w:rPr>
        <w:t>“越来越好”</w:t>
      </w:r>
      <w:r>
        <w:rPr>
          <w:rFonts w:hint="eastAsia" w:ascii="仿宋_GB2312" w:hAnsi="仿宋_GB2312" w:eastAsia="仿宋_GB2312" w:cs="仿宋_GB2312"/>
          <w:color w:val="auto"/>
          <w:spacing w:val="0"/>
          <w:kern w:val="0"/>
          <w:sz w:val="32"/>
          <w:szCs w:val="32"/>
          <w:lang w:val="en-US" w:eastAsia="zh-CN" w:bidi="ar"/>
        </w:rPr>
        <w:t>“创客广东”大赛，支持参与梯度培育，支持优质中小企业拓展国内外市场。</w:t>
      </w:r>
    </w:p>
    <w:p w14:paraId="3F817AC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第二十九条</w:t>
      </w:r>
      <w:r>
        <w:rPr>
          <w:rFonts w:hint="eastAsia" w:ascii="仿宋_GB2312" w:hAnsi="仿宋_GB2312" w:eastAsia="仿宋_GB2312" w:cs="仿宋_GB2312"/>
          <w:color w:val="000000"/>
          <w:spacing w:val="0"/>
          <w:kern w:val="0"/>
          <w:sz w:val="32"/>
          <w:szCs w:val="32"/>
          <w:lang w:val="en-US" w:eastAsia="zh-CN" w:bidi="ar"/>
        </w:rPr>
        <w:t xml:space="preserve"> 鼓励大型企业将优质中小企业纳入产业链、供应链体系，开放产业集群图谱，开展“大手拉小手”活动；开展“携手行动”促进大中小企业融通创新；推进优质中小企业上云上平台等专项行动，支持优质中小企业数字化转型。</w:t>
      </w:r>
    </w:p>
    <w:p w14:paraId="451BBB2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第三十条</w:t>
      </w:r>
      <w:r>
        <w:rPr>
          <w:rFonts w:hint="eastAsia" w:ascii="仿宋_GB2312" w:hAnsi="仿宋_GB2312" w:eastAsia="仿宋_GB2312" w:cs="仿宋_GB2312"/>
          <w:color w:val="000000"/>
          <w:spacing w:val="0"/>
          <w:kern w:val="0"/>
          <w:sz w:val="32"/>
          <w:szCs w:val="32"/>
          <w:lang w:val="en-US" w:eastAsia="zh-CN" w:bidi="ar"/>
        </w:rPr>
        <w:t xml:space="preserve"> 认真贯彻落实建设全国统一大市场和规范招商引资行为有关政策要求，形成部门、上下联动和政策协同，建立完善中小企业运行分析体系，不断优化政策体系、服务体系和发展环境，持续支持中小企业专精特新发展。</w:t>
      </w:r>
    </w:p>
    <w:p w14:paraId="776D92A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第三十一条</w:t>
      </w:r>
      <w:r>
        <w:rPr>
          <w:rFonts w:hint="eastAsia" w:ascii="仿宋_GB2312" w:hAnsi="仿宋_GB2312" w:eastAsia="仿宋_GB2312" w:cs="仿宋_GB2312"/>
          <w:color w:val="000000"/>
          <w:spacing w:val="0"/>
          <w:kern w:val="0"/>
          <w:sz w:val="32"/>
          <w:szCs w:val="32"/>
          <w:lang w:val="en-US" w:eastAsia="zh-CN" w:bidi="ar"/>
        </w:rPr>
        <w:t xml:space="preserve"> 在企业认定和培育服务过程中，各级中小企业主管部门及相关工作人员应当保护企业商业秘密。</w:t>
      </w:r>
    </w:p>
    <w:p w14:paraId="198DB74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000000"/>
          <w:spacing w:val="0"/>
          <w:kern w:val="0"/>
          <w:sz w:val="32"/>
          <w:szCs w:val="32"/>
          <w:lang w:val="en-US" w:eastAsia="zh-CN" w:bidi="ar"/>
        </w:rPr>
      </w:pPr>
    </w:p>
    <w:p w14:paraId="49797F1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第五章 附则</w:t>
      </w:r>
    </w:p>
    <w:p w14:paraId="2F124A7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第三十二条</w:t>
      </w:r>
      <w:r>
        <w:rPr>
          <w:rFonts w:hint="eastAsia" w:ascii="仿宋_GB2312" w:hAnsi="仿宋_GB2312" w:eastAsia="仿宋_GB2312" w:cs="仿宋_GB2312"/>
          <w:color w:val="000000"/>
          <w:spacing w:val="0"/>
          <w:kern w:val="0"/>
          <w:sz w:val="32"/>
          <w:szCs w:val="32"/>
          <w:lang w:val="en-US" w:eastAsia="zh-CN" w:bidi="ar"/>
        </w:rPr>
        <w:t xml:space="preserve"> 与优质中小企业产生投融资、并购重组、交易合作等相关市场行为，由相关主体自主决策、自行负责。</w:t>
      </w:r>
    </w:p>
    <w:p w14:paraId="0950FED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第三十三条</w:t>
      </w:r>
      <w:r>
        <w:rPr>
          <w:rFonts w:hint="eastAsia" w:ascii="仿宋_GB2312" w:hAnsi="仿宋_GB2312" w:eastAsia="仿宋_GB2312" w:cs="仿宋_GB2312"/>
          <w:color w:val="000000"/>
          <w:spacing w:val="0"/>
          <w:kern w:val="0"/>
          <w:sz w:val="32"/>
          <w:szCs w:val="32"/>
          <w:lang w:val="en-US" w:eastAsia="zh-CN" w:bidi="ar"/>
        </w:rPr>
        <w:t xml:space="preserve"> 科技和创新型中小企业有关要求和标准，以工业和信息化部联合有关部门制定发布的文件为准。在相关文件发布前，科技和创新型中小企业涵盖有效期内的科技型中小企业和创新型中小企业，相关工作继续按照原有标准、工作程序和职责分工开展。</w:t>
      </w:r>
    </w:p>
    <w:p w14:paraId="4877C25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spacing w:val="0"/>
          <w:kern w:val="0"/>
          <w:sz w:val="32"/>
          <w:szCs w:val="32"/>
          <w:highlight w:val="none"/>
          <w:u w:val="single"/>
          <w:lang w:val="en-US" w:eastAsia="zh-CN" w:bidi="ar"/>
        </w:rPr>
      </w:pPr>
      <w:r>
        <w:rPr>
          <w:rFonts w:hint="eastAsia" w:ascii="黑体" w:hAnsi="黑体" w:eastAsia="黑体" w:cs="黑体"/>
          <w:color w:val="000000"/>
          <w:spacing w:val="0"/>
          <w:kern w:val="0"/>
          <w:sz w:val="32"/>
          <w:szCs w:val="32"/>
          <w:lang w:val="en-US" w:eastAsia="zh-CN" w:bidi="ar"/>
        </w:rPr>
        <w:t>第三十四条</w:t>
      </w:r>
      <w:r>
        <w:rPr>
          <w:rFonts w:hint="eastAsia" w:ascii="仿宋_GB2312" w:hAnsi="仿宋_GB2312" w:eastAsia="仿宋_GB2312" w:cs="仿宋_GB2312"/>
          <w:color w:val="000000"/>
          <w:spacing w:val="0"/>
          <w:kern w:val="0"/>
          <w:sz w:val="32"/>
          <w:szCs w:val="32"/>
          <w:lang w:val="en-US" w:eastAsia="zh-CN" w:bidi="ar"/>
        </w:rPr>
        <w:t xml:space="preserve"> </w:t>
      </w:r>
      <w:r>
        <w:rPr>
          <w:rFonts w:hint="eastAsia" w:ascii="仿宋_GB2312" w:hAnsi="仿宋_GB2312" w:eastAsia="仿宋_GB2312" w:cs="仿宋_GB2312"/>
          <w:color w:val="000000"/>
          <w:spacing w:val="0"/>
          <w:kern w:val="0"/>
          <w:sz w:val="32"/>
          <w:szCs w:val="32"/>
          <w:highlight w:val="none"/>
          <w:u w:val="none"/>
          <w:lang w:val="en-US" w:eastAsia="zh-CN" w:bidi="ar"/>
        </w:rPr>
        <w:t>本细则自</w:t>
      </w:r>
      <w:r>
        <w:rPr>
          <w:rFonts w:hint="eastAsia" w:ascii="Times New Roman" w:hAnsi="Times New Roman" w:eastAsia="仿宋" w:cs="Times New Roman"/>
          <w:spacing w:val="0"/>
          <w:sz w:val="32"/>
          <w:szCs w:val="32"/>
          <w:lang w:val="en-US" w:eastAsia="zh-CN"/>
        </w:rPr>
        <w:t xml:space="preserve">  </w:t>
      </w:r>
      <w:r>
        <w:rPr>
          <w:rFonts w:hint="eastAsia" w:ascii="仿宋_GB2312" w:hAnsi="仿宋_GB2312" w:eastAsia="仿宋_GB2312" w:cs="仿宋_GB2312"/>
          <w:color w:val="000000"/>
          <w:spacing w:val="0"/>
          <w:kern w:val="0"/>
          <w:sz w:val="32"/>
          <w:szCs w:val="32"/>
          <w:highlight w:val="none"/>
          <w:u w:val="none"/>
          <w:lang w:val="en-US" w:eastAsia="zh-CN" w:bidi="ar"/>
        </w:rPr>
        <w:t>年</w:t>
      </w:r>
      <w:r>
        <w:rPr>
          <w:rFonts w:hint="eastAsia" w:ascii="Times New Roman" w:hAnsi="Times New Roman" w:eastAsia="仿宋" w:cs="Times New Roman"/>
          <w:spacing w:val="0"/>
          <w:sz w:val="32"/>
          <w:szCs w:val="32"/>
          <w:lang w:val="en-US" w:eastAsia="zh-CN"/>
        </w:rPr>
        <w:t xml:space="preserve">  月  </w:t>
      </w:r>
      <w:r>
        <w:rPr>
          <w:rFonts w:hint="eastAsia" w:ascii="仿宋_GB2312" w:hAnsi="仿宋_GB2312" w:eastAsia="仿宋_GB2312" w:cs="仿宋_GB2312"/>
          <w:color w:val="000000"/>
          <w:spacing w:val="0"/>
          <w:kern w:val="2"/>
          <w:sz w:val="32"/>
          <w:szCs w:val="32"/>
          <w:highlight w:val="none"/>
          <w:u w:val="none"/>
          <w:lang w:val="en-US" w:eastAsia="zh-CN" w:bidi="ar"/>
        </w:rPr>
        <w:t>日起</w:t>
      </w:r>
      <w:r>
        <w:rPr>
          <w:rFonts w:hint="eastAsia" w:ascii="仿宋_GB2312" w:hAnsi="仿宋_GB2312" w:eastAsia="仿宋_GB2312" w:cs="仿宋_GB2312"/>
          <w:color w:val="000000"/>
          <w:spacing w:val="0"/>
          <w:kern w:val="0"/>
          <w:sz w:val="32"/>
          <w:szCs w:val="32"/>
          <w:highlight w:val="none"/>
          <w:u w:val="none"/>
          <w:lang w:val="en-US" w:eastAsia="zh-CN" w:bidi="ar"/>
        </w:rPr>
        <w:t>实施，</w:t>
      </w:r>
      <w:r>
        <w:rPr>
          <w:rFonts w:hint="eastAsia" w:ascii="仿宋_GB2312" w:hAnsi="仿宋_GB2312" w:eastAsia="仿宋_GB2312" w:cs="仿宋_GB2312"/>
          <w:color w:val="000000"/>
          <w:spacing w:val="0"/>
          <w:kern w:val="0"/>
          <w:sz w:val="32"/>
          <w:szCs w:val="32"/>
          <w:u w:val="none"/>
          <w:lang w:val="en-US" w:eastAsia="zh-CN" w:bidi="ar"/>
        </w:rPr>
        <w:t>有效期同《办法》。原</w:t>
      </w:r>
      <w:r>
        <w:rPr>
          <w:rFonts w:hint="eastAsia" w:ascii="仿宋_GB2312" w:hAnsi="仿宋_GB2312" w:eastAsia="仿宋_GB2312" w:cs="仿宋_GB2312"/>
          <w:color w:val="000000"/>
          <w:spacing w:val="0"/>
          <w:kern w:val="0"/>
          <w:sz w:val="32"/>
          <w:szCs w:val="32"/>
          <w:highlight w:val="none"/>
          <w:u w:val="none"/>
          <w:lang w:val="en-US" w:eastAsia="zh-CN" w:bidi="ar"/>
        </w:rPr>
        <w:t>《广东省优质中小企业梯度培育管理实施细则》（粤工信规字</w:t>
      </w:r>
      <w:r>
        <w:rPr>
          <w:rFonts w:hint="eastAsia" w:ascii="仿宋_GB2312" w:hAnsi="仿宋_GB2312" w:eastAsia="仿宋_GB2312" w:cs="仿宋_GB2312"/>
          <w:color w:val="000000"/>
          <w:spacing w:val="0"/>
          <w:kern w:val="2"/>
          <w:sz w:val="32"/>
          <w:szCs w:val="32"/>
          <w:highlight w:val="none"/>
          <w:u w:val="none"/>
          <w:lang w:val="en-US" w:eastAsia="zh-CN" w:bidi="ar"/>
        </w:rPr>
        <w:t>〔</w:t>
      </w:r>
      <w:r>
        <w:rPr>
          <w:rFonts w:hint="eastAsia" w:ascii="Times New Roman" w:hAnsi="Times New Roman" w:eastAsia="仿宋" w:cs="Times New Roman"/>
          <w:color w:val="000000"/>
          <w:spacing w:val="0"/>
          <w:kern w:val="2"/>
          <w:sz w:val="32"/>
          <w:szCs w:val="32"/>
          <w:highlight w:val="none"/>
          <w:u w:val="none"/>
          <w:lang w:val="en-US" w:eastAsia="zh-CN" w:bidi="ar"/>
        </w:rPr>
        <w:t>2024</w:t>
      </w:r>
      <w:r>
        <w:rPr>
          <w:rFonts w:hint="eastAsia" w:ascii="仿宋_GB2312" w:hAnsi="仿宋_GB2312" w:eastAsia="仿宋_GB2312" w:cs="仿宋_GB2312"/>
          <w:color w:val="000000"/>
          <w:spacing w:val="0"/>
          <w:kern w:val="2"/>
          <w:sz w:val="32"/>
          <w:szCs w:val="32"/>
          <w:highlight w:val="none"/>
          <w:u w:val="none"/>
          <w:lang w:val="en-US" w:eastAsia="zh-CN" w:bidi="ar"/>
        </w:rPr>
        <w:t>〕</w:t>
      </w:r>
      <w:r>
        <w:rPr>
          <w:rFonts w:hint="eastAsia" w:ascii="Times New Roman" w:hAnsi="Times New Roman" w:eastAsia="仿宋" w:cs="Times New Roman"/>
          <w:color w:val="000000"/>
          <w:spacing w:val="0"/>
          <w:kern w:val="2"/>
          <w:sz w:val="32"/>
          <w:szCs w:val="32"/>
          <w:highlight w:val="none"/>
          <w:u w:val="none"/>
          <w:lang w:val="en-US" w:eastAsia="zh-CN" w:bidi="ar"/>
        </w:rPr>
        <w:t>5</w:t>
      </w:r>
      <w:r>
        <w:rPr>
          <w:rFonts w:hint="eastAsia" w:ascii="仿宋_GB2312" w:hAnsi="仿宋_GB2312" w:eastAsia="仿宋_GB2312" w:cs="仿宋_GB2312"/>
          <w:color w:val="000000"/>
          <w:spacing w:val="0"/>
          <w:kern w:val="0"/>
          <w:sz w:val="32"/>
          <w:szCs w:val="32"/>
          <w:highlight w:val="none"/>
          <w:u w:val="none"/>
          <w:lang w:val="en-US" w:eastAsia="zh-CN" w:bidi="ar"/>
        </w:rPr>
        <w:t>号）中涉及专精特新中小企业和专精特新“小巨人”企业相关条款和认定标准同时废止。在本细则实施前认定的专精特新中小企业和专精特新“小巨人”企业继续有效，到期复核按本细则认定和复核执行</w:t>
      </w:r>
    </w:p>
    <w:p w14:paraId="239A472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hint="eastAsia" w:ascii="黑体" w:hAnsi="黑体" w:eastAsia="黑体" w:cs="黑体"/>
          <w:color w:val="000000"/>
          <w:spacing w:val="0"/>
          <w:kern w:val="0"/>
          <w:sz w:val="32"/>
          <w:szCs w:val="32"/>
          <w:lang w:val="en-US" w:eastAsia="zh-CN" w:bidi="ar"/>
        </w:rPr>
        <w:t>第三十五条</w:t>
      </w:r>
      <w:r>
        <w:rPr>
          <w:rFonts w:hint="eastAsia" w:ascii="仿宋_GB2312" w:hAnsi="仿宋_GB2312" w:eastAsia="仿宋_GB2312" w:cs="仿宋_GB2312"/>
          <w:color w:val="000000"/>
          <w:spacing w:val="0"/>
          <w:kern w:val="0"/>
          <w:sz w:val="32"/>
          <w:szCs w:val="32"/>
          <w:lang w:val="en-US" w:eastAsia="zh-CN" w:bidi="ar"/>
        </w:rPr>
        <w:t xml:space="preserve"> 本细则由省工业和信息化厅负责解释。</w:t>
      </w:r>
    </w:p>
    <w:p w14:paraId="2BE99391">
      <w:pPr>
        <w:keepNext w:val="0"/>
        <w:keepLines w:val="0"/>
        <w:pageBreakBefore w:val="0"/>
        <w:widowControl/>
        <w:suppressLineNumbers w:val="0"/>
        <w:kinsoku/>
        <w:wordWrap/>
        <w:overflowPunct/>
        <w:topLinePunct w:val="0"/>
        <w:autoSpaceDE/>
        <w:autoSpaceDN/>
        <w:bidi w:val="0"/>
        <w:adjustRightInd/>
        <w:snapToGrid/>
        <w:spacing w:line="560" w:lineRule="exact"/>
        <w:ind w:left="1918" w:leftChars="304" w:hanging="1280" w:hangingChars="400"/>
        <w:jc w:val="left"/>
        <w:textAlignment w:val="auto"/>
        <w:rPr>
          <w:rFonts w:ascii="仿宋_GB2312" w:hAnsi="仿宋_GB2312" w:eastAsia="仿宋_GB2312" w:cs="仿宋_GB2312"/>
          <w:color w:val="000000"/>
          <w:spacing w:val="0"/>
          <w:kern w:val="0"/>
          <w:sz w:val="32"/>
          <w:szCs w:val="32"/>
          <w:lang w:val="en-US" w:eastAsia="zh-CN" w:bidi="ar"/>
        </w:rPr>
      </w:pPr>
    </w:p>
    <w:p w14:paraId="11E4BB16">
      <w:pPr>
        <w:keepNext w:val="0"/>
        <w:keepLines w:val="0"/>
        <w:pageBreakBefore w:val="0"/>
        <w:widowControl/>
        <w:suppressLineNumbers w:val="0"/>
        <w:kinsoku/>
        <w:wordWrap/>
        <w:overflowPunct/>
        <w:topLinePunct w:val="0"/>
        <w:autoSpaceDE/>
        <w:autoSpaceDN/>
        <w:bidi w:val="0"/>
        <w:adjustRightInd/>
        <w:snapToGrid/>
        <w:spacing w:line="560" w:lineRule="exact"/>
        <w:ind w:left="1918" w:leftChars="304" w:hanging="1280" w:hangingChars="400"/>
        <w:jc w:val="left"/>
        <w:textAlignment w:val="auto"/>
        <w:rPr>
          <w:rFonts w:hint="eastAsia" w:ascii="仿宋_GB2312" w:hAnsi="仿宋_GB2312" w:eastAsia="仿宋_GB2312" w:cs="仿宋_GB2312"/>
          <w:color w:val="000000"/>
          <w:spacing w:val="0"/>
          <w:kern w:val="0"/>
          <w:sz w:val="32"/>
          <w:szCs w:val="32"/>
          <w:lang w:val="en-US" w:eastAsia="zh-CN" w:bidi="ar"/>
        </w:rPr>
      </w:pPr>
      <w:r>
        <w:rPr>
          <w:rFonts w:ascii="仿宋_GB2312" w:hAnsi="仿宋_GB2312" w:eastAsia="仿宋_GB2312" w:cs="仿宋_GB2312"/>
          <w:color w:val="000000"/>
          <w:spacing w:val="0"/>
          <w:kern w:val="0"/>
          <w:sz w:val="32"/>
          <w:szCs w:val="32"/>
          <w:lang w:val="en-US" w:eastAsia="zh-CN" w:bidi="ar"/>
        </w:rPr>
        <w:t>附件：</w:t>
      </w:r>
      <w:r>
        <w:rPr>
          <w:rFonts w:hint="eastAsia" w:ascii="Times New Roman" w:hAnsi="Times New Roman" w:eastAsia="仿宋" w:cs="Times New Roman"/>
          <w:spacing w:val="0"/>
          <w:sz w:val="32"/>
          <w:szCs w:val="32"/>
          <w:lang w:val="en-US" w:eastAsia="zh-CN"/>
        </w:rPr>
        <w:t>2-1.</w:t>
      </w:r>
      <w:r>
        <w:rPr>
          <w:rFonts w:hint="eastAsia" w:ascii="仿宋_GB2312" w:hAnsi="仿宋_GB2312" w:eastAsia="仿宋_GB2312" w:cs="仿宋_GB2312"/>
          <w:spacing w:val="0"/>
          <w:sz w:val="32"/>
          <w:szCs w:val="32"/>
        </w:rPr>
        <w:t>专精特新中小企业</w:t>
      </w:r>
      <w:r>
        <w:rPr>
          <w:rFonts w:hint="eastAsia" w:ascii="仿宋_GB2312" w:hAnsi="仿宋_GB2312" w:eastAsia="仿宋_GB2312" w:cs="仿宋_GB2312"/>
          <w:spacing w:val="0"/>
          <w:sz w:val="32"/>
          <w:szCs w:val="32"/>
          <w:lang w:val="en-US" w:eastAsia="zh-CN"/>
        </w:rPr>
        <w:t>认定</w:t>
      </w:r>
      <w:r>
        <w:rPr>
          <w:rFonts w:hint="eastAsia" w:ascii="仿宋_GB2312" w:hAnsi="仿宋_GB2312" w:eastAsia="仿宋_GB2312" w:cs="仿宋_GB2312"/>
          <w:spacing w:val="0"/>
          <w:sz w:val="32"/>
          <w:szCs w:val="32"/>
        </w:rPr>
        <w:t>标准</w:t>
      </w:r>
    </w:p>
    <w:p w14:paraId="55BEBF2B">
      <w:pPr>
        <w:keepNext w:val="0"/>
        <w:keepLines w:val="0"/>
        <w:pageBreakBefore w:val="0"/>
        <w:widowControl w:val="0"/>
        <w:suppressLineNumbers w:val="0"/>
        <w:kinsoku/>
        <w:wordWrap/>
        <w:overflowPunct/>
        <w:topLinePunct/>
        <w:autoSpaceDE w:val="0"/>
        <w:autoSpaceDN w:val="0"/>
        <w:bidi w:val="0"/>
        <w:adjustRightInd w:val="0"/>
        <w:snapToGrid w:val="0"/>
        <w:spacing w:line="560" w:lineRule="exact"/>
        <w:ind w:firstLine="1600" w:firstLineChars="500"/>
        <w:jc w:val="both"/>
        <w:textAlignment w:val="baseline"/>
        <w:rPr>
          <w:rFonts w:hint="eastAsia" w:ascii="仿宋_GB2312" w:hAnsi="仿宋_GB2312" w:eastAsia="仿宋_GB2312" w:cs="仿宋_GB2312"/>
          <w:spacing w:val="0"/>
          <w:sz w:val="32"/>
          <w:szCs w:val="32"/>
        </w:rPr>
      </w:pPr>
      <w:r>
        <w:rPr>
          <w:rFonts w:hint="eastAsia" w:ascii="Times New Roman" w:hAnsi="Times New Roman" w:eastAsia="仿宋" w:cs="Times New Roman"/>
          <w:spacing w:val="0"/>
          <w:sz w:val="32"/>
          <w:szCs w:val="32"/>
          <w:lang w:val="en-US" w:eastAsia="zh-CN"/>
        </w:rPr>
        <w:t>2-2.</w:t>
      </w:r>
      <w:r>
        <w:rPr>
          <w:rFonts w:hint="eastAsia" w:ascii="仿宋_GB2312" w:hAnsi="仿宋_GB2312" w:eastAsia="仿宋_GB2312" w:cs="仿宋_GB2312"/>
          <w:spacing w:val="0"/>
          <w:sz w:val="32"/>
          <w:szCs w:val="32"/>
        </w:rPr>
        <w:t>专精特新“小巨人”企业认定标准</w:t>
      </w:r>
    </w:p>
    <w:p w14:paraId="056103CA">
      <w:pPr>
        <w:keepNext w:val="0"/>
        <w:keepLines w:val="0"/>
        <w:pageBreakBefore w:val="0"/>
        <w:widowControl w:val="0"/>
        <w:suppressLineNumbers w:val="0"/>
        <w:kinsoku/>
        <w:wordWrap/>
        <w:overflowPunct/>
        <w:topLinePunct/>
        <w:autoSpaceDE w:val="0"/>
        <w:autoSpaceDN w:val="0"/>
        <w:bidi w:val="0"/>
        <w:adjustRightInd w:val="0"/>
        <w:snapToGrid w:val="0"/>
        <w:spacing w:line="560" w:lineRule="exact"/>
        <w:ind w:firstLine="1600" w:firstLineChars="500"/>
        <w:jc w:val="both"/>
        <w:textAlignment w:val="baseline"/>
        <w:rPr>
          <w:rFonts w:hint="eastAsia" w:ascii="仿宋_GB2312" w:hAnsi="仿宋_GB2312" w:eastAsia="仿宋_GB2312" w:cs="仿宋_GB2312"/>
          <w:spacing w:val="0"/>
          <w:sz w:val="32"/>
          <w:szCs w:val="32"/>
        </w:rPr>
      </w:pPr>
    </w:p>
    <w:p w14:paraId="31F15DB5">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1FB3957C">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6CFB59CD">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14527C71">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25CED55D">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2A4CAA34">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7CB13711">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78B27856">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2F72C7BB">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14BFF801">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6F7F6D47">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5F12F90D">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eastAsia" w:ascii="仿宋_GB2312" w:hAnsi="仿宋_GB2312" w:eastAsia="仿宋_GB2312" w:cs="仿宋_GB2312"/>
          <w:spacing w:val="-12"/>
          <w:sz w:val="32"/>
          <w:szCs w:val="32"/>
        </w:rPr>
      </w:pPr>
    </w:p>
    <w:p w14:paraId="0C692330">
      <w:pPr>
        <w:keepNext w:val="0"/>
        <w:keepLines w:val="0"/>
        <w:pageBreakBefore w:val="0"/>
        <w:widowControl w:val="0"/>
        <w:kinsoku/>
        <w:wordWrap/>
        <w:overflowPunct/>
        <w:topLinePunct/>
        <w:autoSpaceDE/>
        <w:autoSpaceDN/>
        <w:bidi w:val="0"/>
        <w:spacing w:before="162" w:line="560" w:lineRule="exact"/>
        <w:ind w:left="0" w:firstLine="0" w:firstLineChars="0"/>
        <w:jc w:val="both"/>
        <w:outlineLvl w:val="0"/>
        <w:rPr>
          <w:rFonts w:hint="default" w:ascii="Times New Roman" w:hAnsi="Times New Roman" w:eastAsia="仿宋" w:cs="Times New Roman"/>
          <w:color w:val="000000"/>
          <w:spacing w:val="0"/>
          <w:kern w:val="2"/>
          <w:sz w:val="32"/>
          <w:szCs w:val="32"/>
          <w:highlight w:val="none"/>
          <w:u w:val="none"/>
          <w:lang w:val="en-US" w:eastAsia="zh-CN" w:bidi="ar"/>
        </w:rPr>
      </w:pPr>
      <w:r>
        <w:rPr>
          <w:rFonts w:hint="eastAsia" w:ascii="仿宋_GB2312" w:hAnsi="仿宋_GB2312" w:eastAsia="仿宋_GB2312" w:cs="仿宋_GB2312"/>
          <w:spacing w:val="-12"/>
          <w:sz w:val="32"/>
          <w:szCs w:val="32"/>
        </w:rPr>
        <w:t>附件</w:t>
      </w:r>
      <w:r>
        <w:rPr>
          <w:rFonts w:hint="eastAsia" w:ascii="Times New Roman" w:hAnsi="Times New Roman" w:eastAsia="仿宋" w:cs="Times New Roman"/>
          <w:color w:val="000000"/>
          <w:spacing w:val="0"/>
          <w:kern w:val="2"/>
          <w:sz w:val="32"/>
          <w:szCs w:val="32"/>
          <w:highlight w:val="none"/>
          <w:u w:val="none"/>
          <w:lang w:val="en-US" w:eastAsia="zh-CN" w:bidi="ar"/>
        </w:rPr>
        <w:t>2-1</w:t>
      </w:r>
    </w:p>
    <w:p w14:paraId="248923F7">
      <w:pPr>
        <w:keepNext w:val="0"/>
        <w:keepLines w:val="0"/>
        <w:pageBreakBefore w:val="0"/>
        <w:widowControl w:val="0"/>
        <w:kinsoku/>
        <w:wordWrap/>
        <w:overflowPunct/>
        <w:topLinePunct/>
        <w:autoSpaceDE/>
        <w:autoSpaceDN/>
        <w:bidi w:val="0"/>
        <w:adjustRightInd/>
        <w:snapToGrid/>
        <w:spacing w:before="1" w:beforeLines="100" w:line="560" w:lineRule="exact"/>
        <w:jc w:val="center"/>
        <w:textAlignment w:val="auto"/>
        <w:rPr>
          <w:rFonts w:hint="eastAsia" w:ascii="Times New Roman" w:hAnsi="Times New Roman" w:eastAsia="方正小标宋简体" w:cs="方正小标宋简体"/>
          <w:w w:val="100"/>
          <w:sz w:val="44"/>
          <w:szCs w:val="44"/>
        </w:rPr>
      </w:pPr>
      <w:r>
        <w:rPr>
          <w:rFonts w:hint="eastAsia" w:ascii="Times New Roman" w:hAnsi="Times New Roman" w:eastAsia="方正小标宋简体" w:cs="方正小标宋简体"/>
          <w:spacing w:val="0"/>
          <w:w w:val="100"/>
          <w:sz w:val="44"/>
          <w:szCs w:val="44"/>
        </w:rPr>
        <w:t>专精特新中小企业认定标准</w:t>
      </w:r>
    </w:p>
    <w:p w14:paraId="1B31C0FE">
      <w:pPr>
        <w:keepNext w:val="0"/>
        <w:keepLines w:val="0"/>
        <w:pageBreakBefore w:val="0"/>
        <w:widowControl w:val="0"/>
        <w:numPr>
          <w:ilvl w:val="0"/>
          <w:numId w:val="0"/>
        </w:numPr>
        <w:kinsoku/>
        <w:wordWrap/>
        <w:overflowPunct/>
        <w:topLinePunct/>
        <w:autoSpaceDE/>
        <w:autoSpaceDN/>
        <w:bidi w:val="0"/>
        <w:adjustRightInd/>
        <w:snapToGrid/>
        <w:spacing w:beforeLines="0" w:line="560" w:lineRule="exact"/>
        <w:jc w:val="both"/>
        <w:textAlignment w:val="auto"/>
        <w:rPr>
          <w:rFonts w:ascii="Times New Roman" w:hAnsi="Times New Roman" w:eastAsia="黑体" w:cs="黑体"/>
          <w:spacing w:val="0"/>
          <w:w w:val="100"/>
          <w:position w:val="0"/>
          <w:sz w:val="32"/>
          <w:szCs w:val="32"/>
        </w:rPr>
      </w:pPr>
    </w:p>
    <w:p w14:paraId="3C391E16">
      <w:pPr>
        <w:keepNext w:val="0"/>
        <w:keepLines w:val="0"/>
        <w:pageBreakBefore w:val="0"/>
        <w:widowControl w:val="0"/>
        <w:numPr>
          <w:ilvl w:val="0"/>
          <w:numId w:val="0"/>
        </w:numPr>
        <w:kinsoku/>
        <w:wordWrap/>
        <w:overflowPunct/>
        <w:topLinePunct/>
        <w:autoSpaceDE/>
        <w:autoSpaceDN/>
        <w:bidi w:val="0"/>
        <w:adjustRightInd/>
        <w:snapToGrid/>
        <w:spacing w:beforeLines="0" w:line="560" w:lineRule="exact"/>
        <w:ind w:firstLine="640" w:firstLineChars="200"/>
        <w:jc w:val="both"/>
        <w:textAlignment w:val="auto"/>
        <w:rPr>
          <w:rFonts w:hint="eastAsia" w:ascii="仿宋_GB2312" w:hAnsi="仿宋_GB2312" w:eastAsia="仿宋_GB2312" w:cs="仿宋_GB2312"/>
          <w:spacing w:val="0"/>
          <w:w w:val="100"/>
          <w:sz w:val="32"/>
          <w:szCs w:val="32"/>
        </w:rPr>
      </w:pPr>
      <w:r>
        <w:rPr>
          <w:rFonts w:hint="eastAsia" w:ascii="仿宋_GB2312" w:hAnsi="仿宋_GB2312" w:eastAsia="仿宋_GB2312" w:cs="仿宋_GB2312"/>
          <w:spacing w:val="0"/>
          <w:w w:val="100"/>
          <w:sz w:val="32"/>
          <w:szCs w:val="32"/>
          <w:lang w:val="en-US" w:eastAsia="zh-CN"/>
        </w:rPr>
        <w:t>需</w:t>
      </w:r>
      <w:r>
        <w:rPr>
          <w:rFonts w:hint="eastAsia" w:ascii="仿宋_GB2312" w:hAnsi="仿宋_GB2312" w:eastAsia="仿宋_GB2312" w:cs="仿宋_GB2312"/>
          <w:spacing w:val="0"/>
          <w:w w:val="100"/>
          <w:sz w:val="32"/>
          <w:szCs w:val="32"/>
        </w:rPr>
        <w:t>同时满足以下</w:t>
      </w:r>
      <w:r>
        <w:rPr>
          <w:rFonts w:hint="eastAsia" w:ascii="仿宋_GB2312" w:hAnsi="仿宋_GB2312" w:eastAsia="仿宋_GB2312" w:cs="仿宋_GB2312"/>
          <w:spacing w:val="0"/>
          <w:w w:val="100"/>
          <w:sz w:val="32"/>
          <w:szCs w:val="32"/>
          <w:lang w:val="en-US" w:eastAsia="zh-CN"/>
        </w:rPr>
        <w:t>六</w:t>
      </w:r>
      <w:r>
        <w:rPr>
          <w:rFonts w:hint="eastAsia" w:ascii="仿宋_GB2312" w:hAnsi="仿宋_GB2312" w:eastAsia="仿宋_GB2312" w:cs="仿宋_GB2312"/>
          <w:spacing w:val="0"/>
          <w:w w:val="100"/>
          <w:sz w:val="32"/>
          <w:szCs w:val="32"/>
        </w:rPr>
        <w:t>项</w:t>
      </w:r>
      <w:r>
        <w:rPr>
          <w:rFonts w:hint="eastAsia" w:ascii="仿宋_GB2312" w:hAnsi="仿宋_GB2312" w:eastAsia="仿宋_GB2312" w:cs="仿宋_GB2312"/>
          <w:spacing w:val="0"/>
          <w:w w:val="100"/>
          <w:sz w:val="32"/>
          <w:szCs w:val="32"/>
          <w:lang w:val="en-US" w:eastAsia="zh-CN"/>
        </w:rPr>
        <w:t>指标</w:t>
      </w:r>
      <w:r>
        <w:rPr>
          <w:rFonts w:hint="eastAsia" w:ascii="仿宋_GB2312" w:hAnsi="仿宋_GB2312" w:eastAsia="仿宋_GB2312" w:cs="仿宋_GB2312"/>
          <w:spacing w:val="0"/>
          <w:w w:val="100"/>
          <w:sz w:val="32"/>
          <w:szCs w:val="32"/>
        </w:rPr>
        <w:t>：</w:t>
      </w:r>
    </w:p>
    <w:p w14:paraId="41233801">
      <w:pPr>
        <w:keepNext w:val="0"/>
        <w:keepLines w:val="0"/>
        <w:pageBreakBefore w:val="0"/>
        <w:widowControl w:val="0"/>
        <w:numPr>
          <w:ilvl w:val="0"/>
          <w:numId w:val="0"/>
        </w:numPr>
        <w:kinsoku/>
        <w:wordWrap/>
        <w:overflowPunct/>
        <w:topLinePunct/>
        <w:autoSpaceDE/>
        <w:autoSpaceDN/>
        <w:bidi w:val="0"/>
        <w:adjustRightInd/>
        <w:snapToGrid/>
        <w:spacing w:beforeLines="0" w:line="560" w:lineRule="exact"/>
        <w:ind w:firstLine="640" w:firstLineChars="200"/>
        <w:jc w:val="both"/>
        <w:textAlignment w:val="auto"/>
        <w:rPr>
          <w:rFonts w:hint="eastAsia" w:ascii="仿宋_GB2312" w:hAnsi="仿宋_GB2312" w:eastAsia="仿宋_GB2312" w:cs="仿宋_GB2312"/>
          <w:spacing w:val="0"/>
          <w:w w:val="100"/>
          <w:sz w:val="32"/>
          <w:szCs w:val="32"/>
        </w:rPr>
      </w:pPr>
      <w:r>
        <w:rPr>
          <w:rFonts w:hint="eastAsia" w:ascii="仿宋_GB2312" w:hAnsi="仿宋_GB2312" w:eastAsia="仿宋_GB2312" w:cs="仿宋_GB2312"/>
          <w:spacing w:val="0"/>
          <w:w w:val="100"/>
          <w:sz w:val="32"/>
          <w:szCs w:val="32"/>
          <w:lang w:eastAsia="zh-CN"/>
        </w:rPr>
        <w:t>（一）</w:t>
      </w:r>
      <w:r>
        <w:rPr>
          <w:rFonts w:hint="eastAsia" w:ascii="仿宋_GB2312" w:hAnsi="仿宋_GB2312" w:eastAsia="仿宋_GB2312" w:cs="仿宋_GB2312"/>
          <w:spacing w:val="0"/>
          <w:w w:val="100"/>
          <w:sz w:val="32"/>
          <w:szCs w:val="32"/>
        </w:rPr>
        <w:t>已获得科技和创新型中小企业称号，截至上年末从事特定细分市场时间达</w:t>
      </w:r>
      <w:r>
        <w:rPr>
          <w:rFonts w:hint="eastAsia" w:ascii="Times New Roman" w:hAnsi="Times New Roman" w:eastAsia="仿宋" w:cs="Times New Roman"/>
          <w:color w:val="000000"/>
          <w:spacing w:val="0"/>
          <w:kern w:val="2"/>
          <w:sz w:val="32"/>
          <w:szCs w:val="32"/>
          <w:highlight w:val="none"/>
          <w:u w:val="none"/>
          <w:lang w:val="en-US" w:eastAsia="zh-CN" w:bidi="ar"/>
        </w:rPr>
        <w:t>3</w:t>
      </w:r>
      <w:r>
        <w:rPr>
          <w:rFonts w:hint="eastAsia" w:ascii="仿宋_GB2312" w:hAnsi="仿宋_GB2312" w:eastAsia="仿宋_GB2312" w:cs="仿宋_GB2312"/>
          <w:spacing w:val="0"/>
          <w:w w:val="100"/>
          <w:sz w:val="32"/>
          <w:szCs w:val="32"/>
        </w:rPr>
        <w:t>年以上。</w:t>
      </w:r>
    </w:p>
    <w:p w14:paraId="636AB07B">
      <w:pPr>
        <w:keepNext w:val="0"/>
        <w:keepLines w:val="0"/>
        <w:pageBreakBefore w:val="0"/>
        <w:widowControl w:val="0"/>
        <w:numPr>
          <w:ilvl w:val="0"/>
          <w:numId w:val="0"/>
        </w:numPr>
        <w:kinsoku/>
        <w:wordWrap/>
        <w:overflowPunct/>
        <w:topLinePunct/>
        <w:autoSpaceDE/>
        <w:autoSpaceDN/>
        <w:bidi w:val="0"/>
        <w:adjustRightInd/>
        <w:snapToGrid/>
        <w:spacing w:beforeLines="0" w:line="560" w:lineRule="exact"/>
        <w:ind w:firstLine="640" w:firstLineChars="200"/>
        <w:jc w:val="both"/>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spacing w:val="0"/>
          <w:w w:val="100"/>
          <w:sz w:val="32"/>
          <w:szCs w:val="32"/>
          <w:lang w:eastAsia="zh-CN"/>
        </w:rPr>
        <w:t>（二）</w:t>
      </w:r>
      <w:r>
        <w:rPr>
          <w:rFonts w:hint="eastAsia" w:ascii="仿宋_GB2312" w:hAnsi="仿宋_GB2312" w:eastAsia="仿宋_GB2312" w:cs="仿宋_GB2312"/>
          <w:spacing w:val="0"/>
          <w:w w:val="100"/>
          <w:sz w:val="32"/>
          <w:szCs w:val="32"/>
        </w:rPr>
        <w:t>上年度营业收入总额达</w:t>
      </w:r>
      <w:r>
        <w:rPr>
          <w:rFonts w:hint="eastAsia" w:ascii="Times New Roman" w:hAnsi="Times New Roman" w:eastAsia="仿宋" w:cs="Times New Roman"/>
          <w:color w:val="000000"/>
          <w:spacing w:val="0"/>
          <w:kern w:val="2"/>
          <w:sz w:val="32"/>
          <w:szCs w:val="32"/>
          <w:highlight w:val="none"/>
          <w:u w:val="none"/>
          <w:lang w:val="en-US" w:eastAsia="zh-CN" w:bidi="ar"/>
        </w:rPr>
        <w:t>1500</w:t>
      </w:r>
      <w:r>
        <w:rPr>
          <w:rFonts w:hint="eastAsia" w:ascii="仿宋_GB2312" w:hAnsi="仿宋_GB2312" w:eastAsia="仿宋_GB2312" w:cs="仿宋_GB2312"/>
          <w:spacing w:val="0"/>
          <w:w w:val="100"/>
          <w:sz w:val="32"/>
          <w:szCs w:val="32"/>
        </w:rPr>
        <w:t>万元以上或近两年新增股权投资（合格机构投资者的实缴额）总额</w:t>
      </w:r>
      <w:r>
        <w:rPr>
          <w:rFonts w:hint="eastAsia" w:ascii="Times New Roman" w:hAnsi="Times New Roman" w:eastAsia="仿宋" w:cs="Times New Roman"/>
          <w:color w:val="000000"/>
          <w:spacing w:val="0"/>
          <w:kern w:val="2"/>
          <w:sz w:val="32"/>
          <w:szCs w:val="32"/>
          <w:highlight w:val="none"/>
          <w:u w:val="none"/>
          <w:lang w:val="en-US" w:eastAsia="zh-CN" w:bidi="ar"/>
        </w:rPr>
        <w:t>2000</w:t>
      </w:r>
      <w:r>
        <w:rPr>
          <w:rFonts w:hint="eastAsia" w:ascii="仿宋_GB2312" w:hAnsi="仿宋_GB2312" w:eastAsia="仿宋_GB2312" w:cs="仿宋_GB2312"/>
          <w:spacing w:val="0"/>
          <w:w w:val="100"/>
          <w:sz w:val="32"/>
          <w:szCs w:val="32"/>
        </w:rPr>
        <w:t>万元以上，主营业务收入总额占营业收入总额比重不低于</w:t>
      </w:r>
      <w:r>
        <w:rPr>
          <w:rFonts w:hint="eastAsia" w:ascii="Times New Roman" w:hAnsi="Times New Roman" w:eastAsia="仿宋" w:cs="Times New Roman"/>
          <w:color w:val="000000"/>
          <w:spacing w:val="0"/>
          <w:kern w:val="2"/>
          <w:sz w:val="32"/>
          <w:szCs w:val="32"/>
          <w:highlight w:val="none"/>
          <w:u w:val="none"/>
          <w:lang w:val="en-US" w:eastAsia="zh-CN" w:bidi="ar"/>
        </w:rPr>
        <w:t>80</w:t>
      </w:r>
      <w:r>
        <w:rPr>
          <w:rFonts w:hint="eastAsia" w:ascii="仿宋_GB2312" w:hAnsi="仿宋_GB2312" w:eastAsia="仿宋_GB2312" w:cs="仿宋_GB2312"/>
          <w:spacing w:val="0"/>
          <w:w w:val="100"/>
          <w:sz w:val="32"/>
          <w:szCs w:val="32"/>
        </w:rPr>
        <w:t>%，上年末资产负债率不超过</w:t>
      </w:r>
      <w:r>
        <w:rPr>
          <w:rFonts w:hint="eastAsia" w:ascii="Times New Roman" w:hAnsi="Times New Roman" w:eastAsia="仿宋" w:cs="Times New Roman"/>
          <w:color w:val="000000"/>
          <w:spacing w:val="0"/>
          <w:kern w:val="2"/>
          <w:sz w:val="32"/>
          <w:szCs w:val="32"/>
          <w:highlight w:val="none"/>
          <w:u w:val="none"/>
          <w:lang w:val="en-US" w:eastAsia="zh-CN" w:bidi="ar"/>
        </w:rPr>
        <w:t>80</w:t>
      </w:r>
      <w:r>
        <w:rPr>
          <w:rFonts w:hint="eastAsia" w:ascii="仿宋_GB2312" w:hAnsi="仿宋_GB2312" w:eastAsia="仿宋_GB2312" w:cs="仿宋_GB2312"/>
          <w:spacing w:val="0"/>
          <w:w w:val="100"/>
          <w:sz w:val="32"/>
          <w:szCs w:val="32"/>
        </w:rPr>
        <w:t>%</w:t>
      </w:r>
      <w:r>
        <w:rPr>
          <w:rFonts w:hint="eastAsia" w:ascii="仿宋_GB2312" w:hAnsi="仿宋_GB2312" w:eastAsia="仿宋_GB2312" w:cs="仿宋_GB2312"/>
          <w:w w:val="100"/>
          <w:sz w:val="32"/>
          <w:szCs w:val="32"/>
        </w:rPr>
        <w:t>。</w:t>
      </w:r>
    </w:p>
    <w:p w14:paraId="0FC2BBF8">
      <w:pPr>
        <w:keepNext w:val="0"/>
        <w:keepLines w:val="0"/>
        <w:pageBreakBefore w:val="0"/>
        <w:widowControl w:val="0"/>
        <w:numPr>
          <w:ilvl w:val="0"/>
          <w:numId w:val="0"/>
        </w:numPr>
        <w:kinsoku/>
        <w:wordWrap/>
        <w:overflowPunct/>
        <w:topLinePunct/>
        <w:autoSpaceDE/>
        <w:autoSpaceDN/>
        <w:bidi w:val="0"/>
        <w:adjustRightInd/>
        <w:snapToGrid/>
        <w:spacing w:beforeLines="0" w:line="560" w:lineRule="exact"/>
        <w:ind w:firstLine="640" w:firstLineChars="200"/>
        <w:jc w:val="both"/>
        <w:textAlignment w:val="auto"/>
        <w:rPr>
          <w:rFonts w:hint="eastAsia" w:ascii="仿宋_GB2312" w:hAnsi="仿宋_GB2312" w:eastAsia="仿宋_GB2312" w:cs="仿宋_GB2312"/>
          <w:spacing w:val="0"/>
          <w:w w:val="100"/>
          <w:sz w:val="32"/>
          <w:szCs w:val="32"/>
          <w:lang w:eastAsia="zh-CN"/>
        </w:rPr>
      </w:pPr>
      <w:r>
        <w:rPr>
          <w:rFonts w:hint="eastAsia" w:ascii="仿宋_GB2312" w:hAnsi="仿宋_GB2312" w:eastAsia="仿宋_GB2312" w:cs="仿宋_GB2312"/>
          <w:w w:val="100"/>
          <w:sz w:val="32"/>
          <w:szCs w:val="32"/>
          <w:lang w:eastAsia="zh-CN"/>
        </w:rPr>
        <w:t>（三）</w:t>
      </w:r>
      <w:r>
        <w:rPr>
          <w:rFonts w:hint="eastAsia" w:ascii="仿宋_GB2312" w:hAnsi="仿宋_GB2312" w:eastAsia="仿宋_GB2312" w:cs="仿宋_GB2312"/>
          <w:spacing w:val="0"/>
          <w:w w:val="100"/>
          <w:sz w:val="32"/>
          <w:szCs w:val="32"/>
        </w:rPr>
        <w:t>近两年研发费用均不低于</w:t>
      </w:r>
      <w:r>
        <w:rPr>
          <w:rFonts w:hint="eastAsia" w:ascii="Times New Roman" w:hAnsi="Times New Roman" w:eastAsia="仿宋" w:cs="Times New Roman"/>
          <w:color w:val="000000"/>
          <w:spacing w:val="0"/>
          <w:kern w:val="2"/>
          <w:sz w:val="32"/>
          <w:szCs w:val="32"/>
          <w:highlight w:val="none"/>
          <w:u w:val="none"/>
          <w:lang w:val="en-US" w:eastAsia="zh-CN" w:bidi="ar"/>
        </w:rPr>
        <w:t>100</w:t>
      </w:r>
      <w:r>
        <w:rPr>
          <w:rFonts w:hint="eastAsia" w:ascii="仿宋_GB2312" w:hAnsi="仿宋_GB2312" w:eastAsia="仿宋_GB2312" w:cs="仿宋_GB2312"/>
          <w:spacing w:val="0"/>
          <w:w w:val="100"/>
          <w:sz w:val="32"/>
          <w:szCs w:val="32"/>
        </w:rPr>
        <w:t>万元，且每年占营业收入比重均不低于</w:t>
      </w:r>
      <w:r>
        <w:rPr>
          <w:rFonts w:hint="eastAsia" w:ascii="Times New Roman" w:hAnsi="Times New Roman" w:eastAsia="仿宋" w:cs="Times New Roman"/>
          <w:color w:val="000000"/>
          <w:spacing w:val="0"/>
          <w:kern w:val="2"/>
          <w:sz w:val="32"/>
          <w:szCs w:val="32"/>
          <w:highlight w:val="none"/>
          <w:u w:val="none"/>
          <w:lang w:val="en-US" w:eastAsia="zh-CN" w:bidi="ar"/>
        </w:rPr>
        <w:t>3</w:t>
      </w:r>
      <w:r>
        <w:rPr>
          <w:rFonts w:hint="eastAsia" w:ascii="仿宋_GB2312" w:hAnsi="仿宋_GB2312" w:eastAsia="仿宋_GB2312" w:cs="仿宋_GB2312"/>
          <w:spacing w:val="0"/>
          <w:w w:val="100"/>
          <w:sz w:val="32"/>
          <w:szCs w:val="32"/>
        </w:rPr>
        <w:t>%</w:t>
      </w:r>
      <w:r>
        <w:rPr>
          <w:rFonts w:hint="eastAsia" w:ascii="仿宋_GB2312" w:hAnsi="仿宋_GB2312" w:eastAsia="仿宋_GB2312" w:cs="仿宋_GB2312"/>
          <w:spacing w:val="0"/>
          <w:w w:val="100"/>
          <w:sz w:val="32"/>
          <w:szCs w:val="32"/>
          <w:lang w:eastAsia="zh-CN"/>
        </w:rPr>
        <w:t>。</w:t>
      </w:r>
    </w:p>
    <w:p w14:paraId="38FBC6D0">
      <w:pPr>
        <w:keepNext w:val="0"/>
        <w:keepLines w:val="0"/>
        <w:pageBreakBefore w:val="0"/>
        <w:widowControl w:val="0"/>
        <w:kinsoku/>
        <w:wordWrap/>
        <w:overflowPunct/>
        <w:topLinePunct/>
        <w:autoSpaceDE/>
        <w:autoSpaceDN/>
        <w:bidi w:val="0"/>
        <w:adjustRightInd/>
        <w:snapToGrid/>
        <w:spacing w:beforeLines="0" w:line="560" w:lineRule="exact"/>
        <w:ind w:left="0" w:right="0" w:firstLine="640" w:firstLineChars="200"/>
        <w:jc w:val="both"/>
        <w:textAlignment w:val="auto"/>
        <w:rPr>
          <w:rFonts w:hint="eastAsia" w:ascii="仿宋_GB2312" w:hAnsi="仿宋_GB2312" w:eastAsia="仿宋_GB2312" w:cs="仿宋_GB2312"/>
          <w:spacing w:val="0"/>
          <w:w w:val="100"/>
          <w:sz w:val="32"/>
          <w:szCs w:val="32"/>
        </w:rPr>
      </w:pPr>
      <w:r>
        <w:rPr>
          <w:rFonts w:hint="eastAsia" w:ascii="仿宋_GB2312" w:hAnsi="仿宋_GB2312" w:eastAsia="仿宋_GB2312" w:cs="仿宋_GB2312"/>
          <w:spacing w:val="0"/>
          <w:w w:val="100"/>
          <w:sz w:val="32"/>
          <w:szCs w:val="32"/>
          <w:lang w:eastAsia="zh-CN"/>
        </w:rPr>
        <w:t>（四）</w:t>
      </w:r>
      <w:r>
        <w:rPr>
          <w:rFonts w:hint="eastAsia" w:ascii="仿宋_GB2312" w:hAnsi="仿宋_GB2312" w:eastAsia="仿宋_GB2312" w:cs="仿宋_GB2312"/>
          <w:spacing w:val="0"/>
          <w:w w:val="100"/>
          <w:sz w:val="32"/>
          <w:szCs w:val="32"/>
        </w:rPr>
        <w:t>拥有</w:t>
      </w:r>
      <w:r>
        <w:rPr>
          <w:rFonts w:hint="eastAsia" w:ascii="Times New Roman" w:hAnsi="Times New Roman" w:eastAsia="仿宋" w:cs="Times New Roman"/>
          <w:color w:val="000000"/>
          <w:spacing w:val="0"/>
          <w:kern w:val="2"/>
          <w:sz w:val="32"/>
          <w:szCs w:val="32"/>
          <w:highlight w:val="none"/>
          <w:u w:val="none"/>
          <w:lang w:val="en-US" w:eastAsia="zh-CN" w:bidi="ar"/>
        </w:rPr>
        <w:t>1</w:t>
      </w:r>
      <w:r>
        <w:rPr>
          <w:rFonts w:hint="eastAsia" w:ascii="仿宋_GB2312" w:hAnsi="仿宋_GB2312" w:eastAsia="仿宋_GB2312" w:cs="仿宋_GB2312"/>
          <w:spacing w:val="0"/>
          <w:w w:val="100"/>
          <w:sz w:val="32"/>
          <w:szCs w:val="32"/>
        </w:rPr>
        <w:t>项以上与主导产品相关的</w:t>
      </w:r>
      <w:r>
        <w:rPr>
          <w:rFonts w:hint="eastAsia" w:ascii="Times New Roman" w:hAnsi="Times New Roman" w:eastAsia="仿宋" w:cs="Times New Roman"/>
          <w:color w:val="000000"/>
          <w:spacing w:val="0"/>
          <w:kern w:val="2"/>
          <w:sz w:val="32"/>
          <w:szCs w:val="32"/>
          <w:highlight w:val="none"/>
          <w:u w:val="none"/>
          <w:lang w:val="en-US" w:eastAsia="zh-CN" w:bidi="ar"/>
        </w:rPr>
        <w:t>Ι</w:t>
      </w:r>
      <w:r>
        <w:rPr>
          <w:rFonts w:hint="eastAsia" w:ascii="仿宋_GB2312" w:hAnsi="仿宋_GB2312" w:eastAsia="仿宋_GB2312" w:cs="仿宋_GB2312"/>
          <w:spacing w:val="0"/>
          <w:w w:val="100"/>
          <w:sz w:val="32"/>
          <w:szCs w:val="32"/>
        </w:rPr>
        <w:t>类知识产权，且实际应用并已产生经济效益。对近三年获得省部级以上科学技术奖励（排名前三）或拥有经认定的省部级以上研发机构的企业，不考察本项指标。</w:t>
      </w:r>
    </w:p>
    <w:p w14:paraId="50F20330">
      <w:pPr>
        <w:keepNext w:val="0"/>
        <w:keepLines w:val="0"/>
        <w:pageBreakBefore w:val="0"/>
        <w:widowControl w:val="0"/>
        <w:kinsoku/>
        <w:wordWrap/>
        <w:overflowPunct/>
        <w:topLinePunct/>
        <w:autoSpaceDE/>
        <w:autoSpaceDN/>
        <w:bidi w:val="0"/>
        <w:adjustRightInd/>
        <w:snapToGrid/>
        <w:spacing w:beforeLines="0" w:line="560" w:lineRule="exact"/>
        <w:ind w:left="0" w:right="0" w:firstLine="640" w:firstLineChars="200"/>
        <w:jc w:val="both"/>
        <w:textAlignment w:val="auto"/>
        <w:rPr>
          <w:rFonts w:hint="eastAsia" w:ascii="仿宋_GB2312" w:hAnsi="仿宋_GB2312" w:eastAsia="仿宋_GB2312" w:cs="仿宋_GB2312"/>
          <w:spacing w:val="0"/>
          <w:w w:val="100"/>
          <w:sz w:val="32"/>
          <w:szCs w:val="32"/>
          <w:lang w:eastAsia="zh-CN"/>
        </w:rPr>
      </w:pPr>
      <w:r>
        <w:rPr>
          <w:rFonts w:hint="eastAsia" w:ascii="仿宋_GB2312" w:hAnsi="仿宋_GB2312" w:eastAsia="仿宋_GB2312" w:cs="仿宋_GB2312"/>
          <w:spacing w:val="0"/>
          <w:w w:val="100"/>
          <w:sz w:val="32"/>
          <w:szCs w:val="32"/>
          <w:lang w:eastAsia="zh-CN"/>
        </w:rPr>
        <w:t>（</w:t>
      </w:r>
      <w:r>
        <w:rPr>
          <w:rFonts w:hint="eastAsia" w:ascii="仿宋_GB2312" w:hAnsi="仿宋_GB2312" w:eastAsia="仿宋_GB2312" w:cs="仿宋_GB2312"/>
          <w:spacing w:val="0"/>
          <w:w w:val="100"/>
          <w:sz w:val="32"/>
          <w:szCs w:val="32"/>
          <w:lang w:val="en-US" w:eastAsia="zh-CN"/>
        </w:rPr>
        <w:t>五</w:t>
      </w:r>
      <w:r>
        <w:rPr>
          <w:rFonts w:hint="eastAsia" w:ascii="仿宋_GB2312" w:hAnsi="仿宋_GB2312" w:eastAsia="仿宋_GB2312" w:cs="仿宋_GB2312"/>
          <w:spacing w:val="0"/>
          <w:w w:val="100"/>
          <w:sz w:val="32"/>
          <w:szCs w:val="32"/>
          <w:lang w:eastAsia="zh-CN"/>
        </w:rPr>
        <w:t>）主导产品在国内或国际细分市场占有率较为靠前，且享有一定知名度、影响力。</w:t>
      </w:r>
    </w:p>
    <w:p w14:paraId="12BCBED6">
      <w:pPr>
        <w:keepNext w:val="0"/>
        <w:keepLines w:val="0"/>
        <w:pageBreakBefore w:val="0"/>
        <w:widowControl w:val="0"/>
        <w:kinsoku/>
        <w:wordWrap/>
        <w:overflowPunct/>
        <w:topLinePunct/>
        <w:autoSpaceDE/>
        <w:autoSpaceDN/>
        <w:bidi w:val="0"/>
        <w:adjustRightInd/>
        <w:snapToGrid/>
        <w:spacing w:beforeLines="0" w:line="560" w:lineRule="exact"/>
        <w:ind w:left="0" w:right="0" w:firstLine="640" w:firstLineChars="200"/>
        <w:jc w:val="both"/>
        <w:textAlignment w:val="auto"/>
        <w:rPr>
          <w:rFonts w:hint="eastAsia" w:ascii="仿宋_GB2312" w:hAnsi="仿宋_GB2312" w:eastAsia="仿宋_GB2312" w:cs="仿宋_GB2312"/>
          <w:spacing w:val="0"/>
          <w:w w:val="100"/>
          <w:sz w:val="32"/>
          <w:szCs w:val="32"/>
          <w:lang w:eastAsia="zh-CN"/>
        </w:rPr>
      </w:pPr>
      <w:r>
        <w:rPr>
          <w:rFonts w:hint="eastAsia" w:ascii="仿宋_GB2312" w:hAnsi="仿宋_GB2312" w:eastAsia="仿宋_GB2312" w:cs="仿宋_GB2312"/>
          <w:spacing w:val="0"/>
          <w:w w:val="100"/>
          <w:sz w:val="32"/>
          <w:szCs w:val="32"/>
          <w:lang w:eastAsia="zh-CN"/>
        </w:rPr>
        <w:t>（</w:t>
      </w:r>
      <w:r>
        <w:rPr>
          <w:rFonts w:hint="eastAsia" w:ascii="仿宋_GB2312" w:hAnsi="仿宋_GB2312" w:eastAsia="仿宋_GB2312" w:cs="仿宋_GB2312"/>
          <w:spacing w:val="0"/>
          <w:w w:val="100"/>
          <w:sz w:val="32"/>
          <w:szCs w:val="32"/>
          <w:lang w:val="en-US" w:eastAsia="zh-CN"/>
        </w:rPr>
        <w:t>六</w:t>
      </w:r>
      <w:r>
        <w:rPr>
          <w:rFonts w:hint="eastAsia" w:ascii="仿宋_GB2312" w:hAnsi="仿宋_GB2312" w:eastAsia="仿宋_GB2312" w:cs="仿宋_GB2312"/>
          <w:spacing w:val="0"/>
          <w:w w:val="100"/>
          <w:sz w:val="32"/>
          <w:szCs w:val="32"/>
          <w:lang w:eastAsia="zh-CN"/>
        </w:rPr>
        <w:t>）本年度中小企业专精特新发展评价得分达</w:t>
      </w:r>
      <w:r>
        <w:rPr>
          <w:rFonts w:hint="eastAsia" w:ascii="Times New Roman" w:hAnsi="Times New Roman" w:eastAsia="仿宋" w:cs="Times New Roman"/>
          <w:color w:val="000000"/>
          <w:spacing w:val="0"/>
          <w:kern w:val="2"/>
          <w:sz w:val="32"/>
          <w:szCs w:val="32"/>
          <w:highlight w:val="none"/>
          <w:u w:val="none"/>
          <w:lang w:val="en-US" w:eastAsia="zh-CN" w:bidi="ar"/>
        </w:rPr>
        <w:t>50</w:t>
      </w:r>
      <w:r>
        <w:rPr>
          <w:rFonts w:hint="eastAsia" w:ascii="仿宋_GB2312" w:hAnsi="仿宋_GB2312" w:eastAsia="仿宋_GB2312" w:cs="仿宋_GB2312"/>
          <w:spacing w:val="0"/>
          <w:w w:val="100"/>
          <w:sz w:val="32"/>
          <w:szCs w:val="32"/>
          <w:lang w:eastAsia="zh-CN"/>
        </w:rPr>
        <w:t>分以上（复核企业近两年任意一年达</w:t>
      </w:r>
      <w:r>
        <w:rPr>
          <w:rFonts w:hint="eastAsia" w:ascii="Times New Roman" w:hAnsi="Times New Roman" w:eastAsia="仿宋" w:cs="Times New Roman"/>
          <w:color w:val="000000"/>
          <w:spacing w:val="0"/>
          <w:kern w:val="2"/>
          <w:sz w:val="32"/>
          <w:szCs w:val="32"/>
          <w:highlight w:val="none"/>
          <w:u w:val="none"/>
          <w:lang w:val="en-US" w:eastAsia="zh-CN" w:bidi="ar"/>
        </w:rPr>
        <w:t>50</w:t>
      </w:r>
      <w:r>
        <w:rPr>
          <w:rFonts w:hint="eastAsia" w:ascii="仿宋_GB2312" w:hAnsi="仿宋_GB2312" w:eastAsia="仿宋_GB2312" w:cs="仿宋_GB2312"/>
          <w:spacing w:val="0"/>
          <w:w w:val="100"/>
          <w:sz w:val="32"/>
          <w:szCs w:val="32"/>
          <w:lang w:eastAsia="zh-CN"/>
        </w:rPr>
        <w:t>分以上即可）。指标体系见《中小企业专精特新发展评价指标体系（试行）》。</w:t>
      </w:r>
    </w:p>
    <w:p w14:paraId="5DB758A1">
      <w:pPr>
        <w:keepNext w:val="0"/>
        <w:keepLines w:val="0"/>
        <w:pageBreakBefore w:val="0"/>
        <w:widowControl w:val="0"/>
        <w:kinsoku/>
        <w:wordWrap/>
        <w:overflowPunct/>
        <w:topLinePunct/>
        <w:autoSpaceDE/>
        <w:autoSpaceDN/>
        <w:bidi w:val="0"/>
        <w:spacing w:beforeLines="0" w:line="560" w:lineRule="exact"/>
        <w:ind w:firstLine="640" w:firstLineChars="200"/>
        <w:jc w:val="both"/>
        <w:rPr>
          <w:rFonts w:hint="eastAsia" w:ascii="仿宋_GB2312" w:hAnsi="仿宋_GB2312" w:eastAsia="仿宋_GB2312" w:cs="仿宋_GB2312"/>
          <w:b w:val="0"/>
          <w:bCs w:val="0"/>
          <w:w w:val="100"/>
          <w:sz w:val="32"/>
          <w:szCs w:val="32"/>
        </w:rPr>
        <w:sectPr>
          <w:footerReference r:id="rId3" w:type="default"/>
          <w:pgSz w:w="11906" w:h="16839"/>
          <w:pgMar w:top="1440" w:right="1803" w:bottom="1440" w:left="1803" w:header="0" w:footer="1054" w:gutter="0"/>
          <w:cols w:space="720" w:num="1"/>
          <w:rtlGutter w:val="0"/>
          <w:docGrid w:linePitch="1" w:charSpace="0"/>
        </w:sectPr>
      </w:pPr>
    </w:p>
    <w:p w14:paraId="2D68F60C">
      <w:pPr>
        <w:keepNext w:val="0"/>
        <w:keepLines w:val="0"/>
        <w:pageBreakBefore w:val="0"/>
        <w:widowControl w:val="0"/>
        <w:kinsoku/>
        <w:wordWrap/>
        <w:overflowPunct/>
        <w:topLinePunct/>
        <w:autoSpaceDE/>
        <w:autoSpaceDN/>
        <w:bidi w:val="0"/>
        <w:spacing w:beforeLines="0" w:line="540" w:lineRule="exact"/>
        <w:ind w:left="0" w:firstLine="0" w:firstLineChars="0"/>
        <w:jc w:val="both"/>
        <w:rPr>
          <w:rFonts w:hint="eastAsia" w:ascii="Times New Roman" w:hAnsi="Times New Roman" w:eastAsia="仿宋_GB2312" w:cs="仿宋"/>
          <w:spacing w:val="0"/>
          <w:w w:val="100"/>
          <w:sz w:val="32"/>
          <w:szCs w:val="32"/>
          <w:lang w:eastAsia="zh-CN"/>
        </w:rPr>
      </w:pPr>
      <w:r>
        <w:rPr>
          <w:rFonts w:hint="eastAsia" w:ascii="仿宋_GB2312" w:hAnsi="仿宋_GB2312" w:eastAsia="仿宋_GB2312" w:cs="仿宋_GB2312"/>
          <w:spacing w:val="0"/>
          <w:w w:val="100"/>
          <w:sz w:val="32"/>
          <w:szCs w:val="32"/>
        </w:rPr>
        <w:t>附件</w:t>
      </w:r>
      <w:r>
        <w:rPr>
          <w:rFonts w:hint="eastAsia" w:ascii="Times New Roman" w:hAnsi="Times New Roman" w:eastAsia="仿宋" w:cs="Times New Roman"/>
          <w:color w:val="000000"/>
          <w:spacing w:val="0"/>
          <w:kern w:val="2"/>
          <w:sz w:val="32"/>
          <w:szCs w:val="32"/>
          <w:highlight w:val="none"/>
          <w:u w:val="none"/>
          <w:lang w:val="en-US" w:eastAsia="zh-CN" w:bidi="ar"/>
        </w:rPr>
        <w:t>2-2</w:t>
      </w:r>
    </w:p>
    <w:p w14:paraId="2B5524BA">
      <w:pPr>
        <w:keepNext w:val="0"/>
        <w:keepLines w:val="0"/>
        <w:pageBreakBefore w:val="0"/>
        <w:widowControl w:val="0"/>
        <w:kinsoku/>
        <w:wordWrap/>
        <w:overflowPunct/>
        <w:topLinePunct/>
        <w:autoSpaceDE/>
        <w:autoSpaceDN/>
        <w:bidi w:val="0"/>
        <w:adjustRightInd/>
        <w:snapToGrid/>
        <w:spacing w:before="313" w:beforeLines="100" w:line="540" w:lineRule="exact"/>
        <w:jc w:val="center"/>
        <w:textAlignment w:val="auto"/>
        <w:rPr>
          <w:rFonts w:hint="eastAsia" w:ascii="Times New Roman" w:hAnsi="Times New Roman" w:eastAsia="仿宋_GB2312" w:cs="仿宋"/>
          <w:spacing w:val="0"/>
          <w:w w:val="100"/>
          <w:sz w:val="32"/>
          <w:szCs w:val="32"/>
        </w:rPr>
      </w:pPr>
      <w:r>
        <w:rPr>
          <w:rFonts w:hint="eastAsia" w:ascii="Times New Roman" w:hAnsi="Times New Roman" w:eastAsia="方正小标宋简体" w:cs="方正小标宋简体"/>
          <w:spacing w:val="0"/>
          <w:w w:val="100"/>
          <w:sz w:val="44"/>
          <w:szCs w:val="44"/>
        </w:rPr>
        <w:t>专精特新</w:t>
      </w:r>
      <w:r>
        <w:rPr>
          <w:rFonts w:hint="eastAsia" w:ascii="Times New Roman" w:hAnsi="Times New Roman" w:eastAsia="方正小标宋简体" w:cs="方正小标宋简体"/>
          <w:spacing w:val="0"/>
          <w:w w:val="100"/>
          <w:sz w:val="44"/>
          <w:szCs w:val="44"/>
          <w:lang w:eastAsia="zh-CN"/>
        </w:rPr>
        <w:t>“</w:t>
      </w:r>
      <w:r>
        <w:rPr>
          <w:rFonts w:hint="eastAsia" w:ascii="Times New Roman" w:hAnsi="Times New Roman" w:eastAsia="方正小标宋简体" w:cs="方正小标宋简体"/>
          <w:spacing w:val="0"/>
          <w:w w:val="100"/>
          <w:sz w:val="44"/>
          <w:szCs w:val="44"/>
        </w:rPr>
        <w:t>小巨人</w:t>
      </w:r>
      <w:r>
        <w:rPr>
          <w:rFonts w:hint="eastAsia" w:ascii="Times New Roman" w:hAnsi="Times New Roman" w:eastAsia="方正小标宋简体" w:cs="方正小标宋简体"/>
          <w:spacing w:val="0"/>
          <w:w w:val="100"/>
          <w:sz w:val="44"/>
          <w:szCs w:val="44"/>
          <w:lang w:eastAsia="zh-CN"/>
        </w:rPr>
        <w:t>”</w:t>
      </w:r>
      <w:r>
        <w:rPr>
          <w:rFonts w:hint="eastAsia" w:ascii="Times New Roman" w:hAnsi="Times New Roman" w:eastAsia="方正小标宋简体" w:cs="方正小标宋简体"/>
          <w:spacing w:val="0"/>
          <w:w w:val="100"/>
          <w:sz w:val="44"/>
          <w:szCs w:val="44"/>
        </w:rPr>
        <w:t>企业认定标准</w:t>
      </w:r>
    </w:p>
    <w:p w14:paraId="2CDABFCA">
      <w:pPr>
        <w:keepNext w:val="0"/>
        <w:keepLines w:val="0"/>
        <w:pageBreakBefore w:val="0"/>
        <w:widowControl w:val="0"/>
        <w:kinsoku/>
        <w:wordWrap/>
        <w:overflowPunct/>
        <w:topLinePunct/>
        <w:autoSpaceDE/>
        <w:autoSpaceDN/>
        <w:bidi w:val="0"/>
        <w:adjustRightInd w:val="0"/>
        <w:snapToGrid w:val="0"/>
        <w:spacing w:beforeLines="0" w:line="540" w:lineRule="exact"/>
        <w:ind w:firstLine="640" w:firstLineChars="200"/>
        <w:jc w:val="center"/>
        <w:textAlignment w:val="baseline"/>
        <w:rPr>
          <w:rFonts w:hint="eastAsia" w:ascii="Times New Roman" w:hAnsi="Times New Roman" w:eastAsia="仿宋_GB2312" w:cs="仿宋"/>
          <w:spacing w:val="0"/>
          <w:w w:val="100"/>
          <w:sz w:val="32"/>
          <w:szCs w:val="32"/>
        </w:rPr>
      </w:pPr>
    </w:p>
    <w:p w14:paraId="7607AB99">
      <w:pPr>
        <w:keepNext w:val="0"/>
        <w:keepLines w:val="0"/>
        <w:pageBreakBefore w:val="0"/>
        <w:widowControl w:val="0"/>
        <w:numPr>
          <w:ilvl w:val="0"/>
          <w:numId w:val="0"/>
        </w:numPr>
        <w:kinsoku/>
        <w:wordWrap/>
        <w:overflowPunct/>
        <w:topLinePunct/>
        <w:autoSpaceDE/>
        <w:autoSpaceDN/>
        <w:bidi w:val="0"/>
        <w:adjustRightInd/>
        <w:snapToGrid/>
        <w:spacing w:beforeLines="0" w:line="540" w:lineRule="exact"/>
        <w:ind w:firstLine="640" w:firstLineChars="200"/>
        <w:jc w:val="both"/>
        <w:textAlignment w:val="auto"/>
        <w:rPr>
          <w:rFonts w:hint="eastAsia" w:ascii="仿宋_GB2312" w:hAnsi="仿宋_GB2312" w:eastAsia="仿宋_GB2312" w:cs="仿宋_GB2312"/>
          <w:spacing w:val="0"/>
          <w:w w:val="100"/>
          <w:sz w:val="32"/>
          <w:szCs w:val="32"/>
        </w:rPr>
      </w:pPr>
      <w:r>
        <w:rPr>
          <w:rFonts w:hint="eastAsia" w:ascii="仿宋_GB2312" w:hAnsi="仿宋_GB2312" w:eastAsia="仿宋_GB2312" w:cs="仿宋_GB2312"/>
          <w:spacing w:val="0"/>
          <w:w w:val="100"/>
          <w:sz w:val="32"/>
          <w:szCs w:val="32"/>
          <w:lang w:val="en-US" w:eastAsia="zh-CN"/>
        </w:rPr>
        <w:t>需</w:t>
      </w:r>
      <w:r>
        <w:rPr>
          <w:rFonts w:hint="eastAsia" w:ascii="仿宋_GB2312" w:hAnsi="仿宋_GB2312" w:eastAsia="仿宋_GB2312" w:cs="仿宋_GB2312"/>
          <w:spacing w:val="0"/>
          <w:w w:val="100"/>
          <w:sz w:val="32"/>
          <w:szCs w:val="32"/>
        </w:rPr>
        <w:t>同时满足以下</w:t>
      </w:r>
      <w:r>
        <w:rPr>
          <w:rFonts w:hint="eastAsia" w:ascii="仿宋_GB2312" w:hAnsi="仿宋_GB2312" w:eastAsia="仿宋_GB2312" w:cs="仿宋_GB2312"/>
          <w:spacing w:val="0"/>
          <w:w w:val="100"/>
          <w:sz w:val="32"/>
          <w:szCs w:val="32"/>
          <w:lang w:val="en-US" w:eastAsia="zh-CN"/>
        </w:rPr>
        <w:t>七</w:t>
      </w:r>
      <w:r>
        <w:rPr>
          <w:rFonts w:hint="eastAsia" w:ascii="仿宋_GB2312" w:hAnsi="仿宋_GB2312" w:eastAsia="仿宋_GB2312" w:cs="仿宋_GB2312"/>
          <w:spacing w:val="0"/>
          <w:w w:val="100"/>
          <w:sz w:val="32"/>
          <w:szCs w:val="32"/>
        </w:rPr>
        <w:t>项</w:t>
      </w:r>
      <w:r>
        <w:rPr>
          <w:rFonts w:hint="eastAsia" w:ascii="仿宋_GB2312" w:hAnsi="仿宋_GB2312" w:eastAsia="仿宋_GB2312" w:cs="仿宋_GB2312"/>
          <w:spacing w:val="0"/>
          <w:w w:val="100"/>
          <w:sz w:val="32"/>
          <w:szCs w:val="32"/>
          <w:lang w:val="en-US" w:eastAsia="zh-CN"/>
        </w:rPr>
        <w:t>指标</w:t>
      </w:r>
      <w:r>
        <w:rPr>
          <w:rFonts w:hint="eastAsia" w:ascii="仿宋_GB2312" w:hAnsi="仿宋_GB2312" w:eastAsia="仿宋_GB2312" w:cs="仿宋_GB2312"/>
          <w:spacing w:val="0"/>
          <w:w w:val="100"/>
          <w:sz w:val="32"/>
          <w:szCs w:val="32"/>
        </w:rPr>
        <w:t>：</w:t>
      </w:r>
    </w:p>
    <w:p w14:paraId="4CD1C7BC">
      <w:pPr>
        <w:keepNext w:val="0"/>
        <w:keepLines w:val="0"/>
        <w:pageBreakBefore w:val="0"/>
        <w:widowControl w:val="0"/>
        <w:numPr>
          <w:ilvl w:val="0"/>
          <w:numId w:val="0"/>
        </w:numPr>
        <w:kinsoku/>
        <w:wordWrap/>
        <w:overflowPunct/>
        <w:topLinePunct/>
        <w:autoSpaceDE/>
        <w:autoSpaceDN/>
        <w:bidi w:val="0"/>
        <w:adjustRightInd/>
        <w:snapToGrid/>
        <w:spacing w:beforeLines="0" w:line="540" w:lineRule="exact"/>
        <w:ind w:firstLine="640" w:firstLineChars="200"/>
        <w:jc w:val="both"/>
        <w:textAlignment w:val="auto"/>
        <w:rPr>
          <w:rFonts w:hint="eastAsia" w:ascii="仿宋_GB2312" w:hAnsi="仿宋_GB2312" w:eastAsia="仿宋_GB2312" w:cs="仿宋_GB2312"/>
          <w:spacing w:val="0"/>
          <w:w w:val="100"/>
          <w:sz w:val="32"/>
          <w:szCs w:val="32"/>
        </w:rPr>
      </w:pPr>
      <w:r>
        <w:rPr>
          <w:rFonts w:hint="eastAsia" w:ascii="仿宋_GB2312" w:hAnsi="仿宋_GB2312" w:eastAsia="仿宋_GB2312" w:cs="仿宋_GB2312"/>
          <w:spacing w:val="0"/>
          <w:w w:val="100"/>
          <w:sz w:val="32"/>
          <w:szCs w:val="32"/>
          <w:lang w:eastAsia="zh-CN"/>
        </w:rPr>
        <w:t>（一）</w:t>
      </w:r>
      <w:r>
        <w:rPr>
          <w:rFonts w:hint="eastAsia" w:ascii="仿宋_GB2312" w:hAnsi="仿宋_GB2312" w:eastAsia="仿宋_GB2312" w:cs="仿宋_GB2312"/>
          <w:spacing w:val="0"/>
          <w:w w:val="100"/>
          <w:sz w:val="32"/>
          <w:szCs w:val="32"/>
        </w:rPr>
        <w:t>已获得</w:t>
      </w:r>
      <w:r>
        <w:rPr>
          <w:rFonts w:hint="eastAsia" w:ascii="仿宋_GB2312" w:hAnsi="仿宋_GB2312" w:eastAsia="仿宋_GB2312" w:cs="仿宋_GB2312"/>
          <w:spacing w:val="0"/>
          <w:w w:val="100"/>
          <w:sz w:val="32"/>
          <w:szCs w:val="32"/>
          <w:lang w:val="en-US" w:eastAsia="zh-CN"/>
        </w:rPr>
        <w:t>专精特新</w:t>
      </w:r>
      <w:r>
        <w:rPr>
          <w:rFonts w:hint="eastAsia" w:ascii="仿宋_GB2312" w:hAnsi="仿宋_GB2312" w:eastAsia="仿宋_GB2312" w:cs="仿宋_GB2312"/>
          <w:spacing w:val="0"/>
          <w:w w:val="100"/>
          <w:sz w:val="32"/>
          <w:szCs w:val="32"/>
        </w:rPr>
        <w:t>中小企业称号，截至上年末从事特定细分市场时间达</w:t>
      </w:r>
      <w:r>
        <w:rPr>
          <w:rFonts w:hint="eastAsia" w:ascii="Times New Roman" w:hAnsi="Times New Roman" w:eastAsia="仿宋" w:cs="Times New Roman"/>
          <w:color w:val="000000"/>
          <w:spacing w:val="0"/>
          <w:kern w:val="2"/>
          <w:sz w:val="32"/>
          <w:szCs w:val="32"/>
          <w:highlight w:val="none"/>
          <w:u w:val="none"/>
          <w:lang w:val="en-US" w:eastAsia="zh-CN" w:bidi="ar"/>
        </w:rPr>
        <w:t>3</w:t>
      </w:r>
      <w:r>
        <w:rPr>
          <w:rFonts w:hint="eastAsia" w:ascii="仿宋_GB2312" w:hAnsi="仿宋_GB2312" w:eastAsia="仿宋_GB2312" w:cs="仿宋_GB2312"/>
          <w:spacing w:val="0"/>
          <w:w w:val="100"/>
          <w:sz w:val="32"/>
          <w:szCs w:val="32"/>
        </w:rPr>
        <w:t>年以上。</w:t>
      </w:r>
    </w:p>
    <w:p w14:paraId="12E1F9A5">
      <w:pPr>
        <w:keepNext w:val="0"/>
        <w:keepLines w:val="0"/>
        <w:pageBreakBefore w:val="0"/>
        <w:widowControl w:val="0"/>
        <w:numPr>
          <w:ilvl w:val="0"/>
          <w:numId w:val="0"/>
        </w:numPr>
        <w:kinsoku/>
        <w:wordWrap/>
        <w:overflowPunct/>
        <w:topLinePunct/>
        <w:autoSpaceDE/>
        <w:autoSpaceDN/>
        <w:bidi w:val="0"/>
        <w:adjustRightInd/>
        <w:snapToGrid/>
        <w:spacing w:beforeLines="0" w:line="540" w:lineRule="exact"/>
        <w:ind w:firstLine="640" w:firstLineChars="200"/>
        <w:jc w:val="both"/>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spacing w:val="0"/>
          <w:w w:val="100"/>
          <w:sz w:val="32"/>
          <w:szCs w:val="32"/>
          <w:lang w:eastAsia="zh-CN"/>
        </w:rPr>
        <w:t>（二）</w:t>
      </w:r>
      <w:r>
        <w:rPr>
          <w:rFonts w:hint="eastAsia" w:ascii="仿宋_GB2312" w:hAnsi="仿宋_GB2312" w:eastAsia="仿宋_GB2312" w:cs="仿宋_GB2312"/>
          <w:spacing w:val="0"/>
          <w:w w:val="100"/>
          <w:sz w:val="32"/>
          <w:szCs w:val="32"/>
        </w:rPr>
        <w:t>上年度营业收入总额达</w:t>
      </w:r>
      <w:r>
        <w:rPr>
          <w:rFonts w:hint="eastAsia" w:ascii="Times New Roman" w:hAnsi="Times New Roman" w:eastAsia="仿宋" w:cs="Times New Roman"/>
          <w:color w:val="000000"/>
          <w:spacing w:val="0"/>
          <w:kern w:val="2"/>
          <w:sz w:val="32"/>
          <w:szCs w:val="32"/>
          <w:highlight w:val="none"/>
          <w:u w:val="none"/>
          <w:lang w:val="en-US" w:eastAsia="zh-CN" w:bidi="ar"/>
        </w:rPr>
        <w:t>5000</w:t>
      </w:r>
      <w:r>
        <w:rPr>
          <w:rFonts w:hint="eastAsia" w:ascii="仿宋_GB2312" w:hAnsi="仿宋_GB2312" w:eastAsia="仿宋_GB2312" w:cs="仿宋_GB2312"/>
          <w:spacing w:val="0"/>
          <w:w w:val="100"/>
          <w:sz w:val="32"/>
          <w:szCs w:val="32"/>
        </w:rPr>
        <w:t>万元以上，主营业务收入总额占营业收入总额比重不低于</w:t>
      </w:r>
      <w:r>
        <w:rPr>
          <w:rFonts w:hint="eastAsia" w:ascii="Times New Roman" w:hAnsi="Times New Roman" w:eastAsia="仿宋" w:cs="Times New Roman"/>
          <w:color w:val="000000"/>
          <w:spacing w:val="0"/>
          <w:kern w:val="2"/>
          <w:sz w:val="32"/>
          <w:szCs w:val="32"/>
          <w:highlight w:val="none"/>
          <w:u w:val="none"/>
          <w:lang w:val="en-US" w:eastAsia="zh-CN" w:bidi="ar"/>
        </w:rPr>
        <w:t>90</w:t>
      </w:r>
      <w:r>
        <w:rPr>
          <w:rFonts w:hint="eastAsia" w:ascii="仿宋_GB2312" w:hAnsi="仿宋_GB2312" w:eastAsia="仿宋_GB2312" w:cs="仿宋_GB2312"/>
          <w:spacing w:val="0"/>
          <w:w w:val="100"/>
          <w:sz w:val="32"/>
          <w:szCs w:val="32"/>
        </w:rPr>
        <w:t>%。近两年营业收入复合增长率不低于</w:t>
      </w:r>
      <w:r>
        <w:rPr>
          <w:rFonts w:hint="eastAsia" w:ascii="Times New Roman" w:hAnsi="Times New Roman" w:eastAsia="仿宋" w:cs="Times New Roman"/>
          <w:color w:val="000000"/>
          <w:spacing w:val="0"/>
          <w:kern w:val="2"/>
          <w:sz w:val="32"/>
          <w:szCs w:val="32"/>
          <w:highlight w:val="none"/>
          <w:u w:val="none"/>
          <w:lang w:val="en-US" w:eastAsia="zh-CN" w:bidi="ar"/>
        </w:rPr>
        <w:t>5</w:t>
      </w:r>
      <w:r>
        <w:rPr>
          <w:rFonts w:hint="eastAsia" w:ascii="仿宋_GB2312" w:hAnsi="仿宋_GB2312" w:eastAsia="仿宋_GB2312" w:cs="仿宋_GB2312"/>
          <w:spacing w:val="0"/>
          <w:w w:val="100"/>
          <w:sz w:val="32"/>
          <w:szCs w:val="32"/>
        </w:rPr>
        <w:t>%（复核企业不考查该项指标），上年末资产负债率不超过</w:t>
      </w:r>
      <w:r>
        <w:rPr>
          <w:rFonts w:hint="eastAsia" w:ascii="Times New Roman" w:hAnsi="Times New Roman" w:eastAsia="仿宋" w:cs="Times New Roman"/>
          <w:color w:val="000000"/>
          <w:spacing w:val="0"/>
          <w:kern w:val="2"/>
          <w:sz w:val="32"/>
          <w:szCs w:val="32"/>
          <w:highlight w:val="none"/>
          <w:u w:val="none"/>
          <w:lang w:val="en-US" w:eastAsia="zh-CN" w:bidi="ar"/>
        </w:rPr>
        <w:t>75</w:t>
      </w:r>
      <w:r>
        <w:rPr>
          <w:rFonts w:hint="eastAsia" w:ascii="仿宋_GB2312" w:hAnsi="仿宋_GB2312" w:eastAsia="仿宋_GB2312" w:cs="仿宋_GB2312"/>
          <w:spacing w:val="0"/>
          <w:w w:val="100"/>
          <w:sz w:val="32"/>
          <w:szCs w:val="32"/>
        </w:rPr>
        <w:t>%</w:t>
      </w:r>
      <w:r>
        <w:rPr>
          <w:rFonts w:hint="eastAsia" w:ascii="仿宋_GB2312" w:hAnsi="仿宋_GB2312" w:eastAsia="仿宋_GB2312" w:cs="仿宋_GB2312"/>
          <w:w w:val="100"/>
          <w:sz w:val="32"/>
          <w:szCs w:val="32"/>
        </w:rPr>
        <w:t>。</w:t>
      </w:r>
    </w:p>
    <w:p w14:paraId="37BAA1B7">
      <w:pPr>
        <w:keepNext w:val="0"/>
        <w:keepLines w:val="0"/>
        <w:pageBreakBefore w:val="0"/>
        <w:widowControl w:val="0"/>
        <w:numPr>
          <w:ilvl w:val="0"/>
          <w:numId w:val="0"/>
        </w:numPr>
        <w:kinsoku/>
        <w:wordWrap/>
        <w:overflowPunct/>
        <w:topLinePunct/>
        <w:autoSpaceDE/>
        <w:autoSpaceDN/>
        <w:bidi w:val="0"/>
        <w:adjustRightInd/>
        <w:snapToGrid/>
        <w:spacing w:beforeLines="0" w:line="540" w:lineRule="exact"/>
        <w:ind w:firstLine="640" w:firstLineChars="200"/>
        <w:jc w:val="both"/>
        <w:textAlignment w:val="auto"/>
        <w:rPr>
          <w:rFonts w:hint="eastAsia" w:ascii="仿宋_GB2312" w:hAnsi="仿宋_GB2312" w:eastAsia="仿宋_GB2312" w:cs="仿宋_GB2312"/>
          <w:spacing w:val="0"/>
          <w:w w:val="100"/>
          <w:sz w:val="32"/>
          <w:szCs w:val="32"/>
          <w:lang w:eastAsia="zh-CN"/>
        </w:rPr>
      </w:pPr>
      <w:r>
        <w:rPr>
          <w:rFonts w:hint="eastAsia" w:ascii="仿宋_GB2312" w:hAnsi="仿宋_GB2312" w:eastAsia="仿宋_GB2312" w:cs="仿宋_GB2312"/>
          <w:w w:val="100"/>
          <w:sz w:val="32"/>
          <w:szCs w:val="32"/>
          <w:lang w:eastAsia="zh-CN"/>
        </w:rPr>
        <w:t>（三）</w:t>
      </w:r>
      <w:r>
        <w:rPr>
          <w:rFonts w:hint="eastAsia" w:ascii="仿宋_GB2312" w:hAnsi="仿宋_GB2312" w:eastAsia="仿宋_GB2312" w:cs="仿宋_GB2312"/>
          <w:spacing w:val="0"/>
          <w:w w:val="100"/>
          <w:sz w:val="32"/>
          <w:szCs w:val="32"/>
        </w:rPr>
        <w:t>近两年研发费用合计不低于</w:t>
      </w:r>
      <w:r>
        <w:rPr>
          <w:rFonts w:hint="eastAsia" w:ascii="Times New Roman" w:hAnsi="Times New Roman" w:eastAsia="仿宋" w:cs="Times New Roman"/>
          <w:color w:val="000000"/>
          <w:spacing w:val="0"/>
          <w:kern w:val="2"/>
          <w:sz w:val="32"/>
          <w:szCs w:val="32"/>
          <w:highlight w:val="none"/>
          <w:u w:val="none"/>
          <w:lang w:val="en-US" w:eastAsia="zh-CN" w:bidi="ar"/>
        </w:rPr>
        <w:t>1200</w:t>
      </w:r>
      <w:r>
        <w:rPr>
          <w:rFonts w:hint="eastAsia" w:ascii="仿宋_GB2312" w:hAnsi="仿宋_GB2312" w:eastAsia="仿宋_GB2312" w:cs="仿宋_GB2312"/>
          <w:spacing w:val="0"/>
          <w:w w:val="100"/>
          <w:sz w:val="32"/>
          <w:szCs w:val="32"/>
        </w:rPr>
        <w:t>万元，且每年占营业收入比重均不低于</w:t>
      </w:r>
      <w:r>
        <w:rPr>
          <w:rFonts w:hint="eastAsia" w:ascii="Times New Roman" w:hAnsi="Times New Roman" w:eastAsia="仿宋" w:cs="Times New Roman"/>
          <w:color w:val="000000"/>
          <w:spacing w:val="0"/>
          <w:kern w:val="2"/>
          <w:sz w:val="32"/>
          <w:szCs w:val="32"/>
          <w:highlight w:val="none"/>
          <w:u w:val="none"/>
          <w:lang w:val="en-US" w:eastAsia="zh-CN" w:bidi="ar"/>
        </w:rPr>
        <w:t>3</w:t>
      </w:r>
      <w:r>
        <w:rPr>
          <w:rFonts w:hint="eastAsia" w:ascii="仿宋_GB2312" w:hAnsi="仿宋_GB2312" w:eastAsia="仿宋_GB2312" w:cs="仿宋_GB2312"/>
          <w:spacing w:val="0"/>
          <w:w w:val="100"/>
          <w:sz w:val="32"/>
          <w:szCs w:val="32"/>
        </w:rPr>
        <w:t>%</w:t>
      </w:r>
      <w:r>
        <w:rPr>
          <w:rFonts w:hint="eastAsia" w:ascii="仿宋_GB2312" w:hAnsi="仿宋_GB2312" w:eastAsia="仿宋_GB2312" w:cs="仿宋_GB2312"/>
          <w:spacing w:val="0"/>
          <w:w w:val="100"/>
          <w:sz w:val="32"/>
          <w:szCs w:val="32"/>
          <w:lang w:eastAsia="zh-CN"/>
        </w:rPr>
        <w:t>。</w:t>
      </w:r>
    </w:p>
    <w:p w14:paraId="131A0404">
      <w:pPr>
        <w:keepNext w:val="0"/>
        <w:keepLines w:val="0"/>
        <w:pageBreakBefore w:val="0"/>
        <w:widowControl w:val="0"/>
        <w:kinsoku/>
        <w:wordWrap/>
        <w:overflowPunct/>
        <w:topLinePunct/>
        <w:autoSpaceDE/>
        <w:autoSpaceDN/>
        <w:bidi w:val="0"/>
        <w:adjustRightInd/>
        <w:snapToGrid/>
        <w:spacing w:beforeLines="0" w:line="540" w:lineRule="exact"/>
        <w:ind w:left="0" w:right="0" w:firstLine="640" w:firstLineChars="200"/>
        <w:jc w:val="both"/>
        <w:textAlignment w:val="auto"/>
        <w:rPr>
          <w:rFonts w:hint="eastAsia" w:ascii="仿宋_GB2312" w:hAnsi="仿宋_GB2312" w:eastAsia="仿宋_GB2312" w:cs="仿宋_GB2312"/>
          <w:spacing w:val="0"/>
          <w:w w:val="100"/>
          <w:sz w:val="32"/>
          <w:szCs w:val="32"/>
        </w:rPr>
      </w:pPr>
      <w:r>
        <w:rPr>
          <w:rFonts w:hint="eastAsia" w:ascii="仿宋_GB2312" w:hAnsi="仿宋_GB2312" w:eastAsia="仿宋_GB2312" w:cs="仿宋_GB2312"/>
          <w:spacing w:val="0"/>
          <w:w w:val="100"/>
          <w:sz w:val="32"/>
          <w:szCs w:val="32"/>
          <w:lang w:eastAsia="zh-CN"/>
        </w:rPr>
        <w:t>（四）</w:t>
      </w:r>
      <w:r>
        <w:rPr>
          <w:rFonts w:hint="eastAsia" w:ascii="仿宋_GB2312" w:hAnsi="仿宋_GB2312" w:eastAsia="仿宋_GB2312" w:cs="仿宋_GB2312"/>
          <w:spacing w:val="0"/>
          <w:w w:val="100"/>
          <w:sz w:val="32"/>
          <w:szCs w:val="32"/>
        </w:rPr>
        <w:t>拥有</w:t>
      </w:r>
      <w:r>
        <w:rPr>
          <w:rFonts w:hint="eastAsia" w:ascii="Times New Roman" w:hAnsi="Times New Roman" w:eastAsia="仿宋" w:cs="Times New Roman"/>
          <w:color w:val="000000"/>
          <w:spacing w:val="0"/>
          <w:kern w:val="2"/>
          <w:sz w:val="32"/>
          <w:szCs w:val="32"/>
          <w:highlight w:val="none"/>
          <w:u w:val="none"/>
          <w:lang w:val="en-US" w:eastAsia="zh-CN" w:bidi="ar"/>
        </w:rPr>
        <w:t>4</w:t>
      </w:r>
      <w:r>
        <w:rPr>
          <w:rFonts w:hint="eastAsia" w:ascii="仿宋_GB2312" w:hAnsi="仿宋_GB2312" w:eastAsia="仿宋_GB2312" w:cs="仿宋_GB2312"/>
          <w:spacing w:val="0"/>
          <w:w w:val="100"/>
          <w:sz w:val="32"/>
          <w:szCs w:val="32"/>
        </w:rPr>
        <w:t>项以上与主导产品相关的</w:t>
      </w:r>
      <w:r>
        <w:rPr>
          <w:rFonts w:hint="eastAsia" w:ascii="Times New Roman" w:hAnsi="Times New Roman" w:eastAsia="仿宋" w:cs="Times New Roman"/>
          <w:color w:val="000000"/>
          <w:spacing w:val="0"/>
          <w:kern w:val="2"/>
          <w:sz w:val="32"/>
          <w:szCs w:val="32"/>
          <w:highlight w:val="none"/>
          <w:u w:val="none"/>
          <w:lang w:val="en-US" w:eastAsia="zh-CN" w:bidi="ar"/>
        </w:rPr>
        <w:t>Ι</w:t>
      </w:r>
      <w:r>
        <w:rPr>
          <w:rFonts w:hint="eastAsia" w:ascii="仿宋_GB2312" w:hAnsi="仿宋_GB2312" w:eastAsia="仿宋_GB2312" w:cs="仿宋_GB2312"/>
          <w:spacing w:val="0"/>
          <w:w w:val="100"/>
          <w:sz w:val="32"/>
          <w:szCs w:val="32"/>
        </w:rPr>
        <w:t>类知识产权，且实际应用并已产生经济效益。对近三年获得国家级科技奖励（排名前三）的企业，不考察本项指标。</w:t>
      </w:r>
    </w:p>
    <w:p w14:paraId="1746051A">
      <w:pPr>
        <w:keepNext w:val="0"/>
        <w:keepLines w:val="0"/>
        <w:pageBreakBefore w:val="0"/>
        <w:widowControl w:val="0"/>
        <w:kinsoku/>
        <w:wordWrap/>
        <w:overflowPunct/>
        <w:topLinePunct/>
        <w:autoSpaceDE/>
        <w:autoSpaceDN/>
        <w:bidi w:val="0"/>
        <w:adjustRightInd/>
        <w:snapToGrid/>
        <w:spacing w:beforeLines="0" w:line="540" w:lineRule="exact"/>
        <w:ind w:left="0" w:right="0" w:firstLine="640" w:firstLineChars="200"/>
        <w:jc w:val="both"/>
        <w:textAlignment w:val="auto"/>
        <w:rPr>
          <w:rFonts w:hint="eastAsia" w:ascii="仿宋_GB2312" w:hAnsi="仿宋_GB2312" w:eastAsia="仿宋_GB2312" w:cs="仿宋_GB2312"/>
          <w:spacing w:val="0"/>
          <w:w w:val="100"/>
          <w:sz w:val="32"/>
          <w:szCs w:val="32"/>
          <w:lang w:eastAsia="zh-CN"/>
        </w:rPr>
      </w:pPr>
      <w:r>
        <w:rPr>
          <w:rFonts w:hint="eastAsia" w:ascii="仿宋_GB2312" w:hAnsi="仿宋_GB2312" w:eastAsia="仿宋_GB2312" w:cs="仿宋_GB2312"/>
          <w:spacing w:val="0"/>
          <w:w w:val="100"/>
          <w:sz w:val="32"/>
          <w:szCs w:val="32"/>
          <w:lang w:eastAsia="zh-CN"/>
        </w:rPr>
        <w:t>（</w:t>
      </w:r>
      <w:r>
        <w:rPr>
          <w:rFonts w:hint="eastAsia" w:ascii="仿宋_GB2312" w:hAnsi="仿宋_GB2312" w:eastAsia="仿宋_GB2312" w:cs="仿宋_GB2312"/>
          <w:spacing w:val="0"/>
          <w:w w:val="100"/>
          <w:sz w:val="32"/>
          <w:szCs w:val="32"/>
          <w:lang w:val="en-US" w:eastAsia="zh-CN"/>
        </w:rPr>
        <w:t>五</w:t>
      </w:r>
      <w:r>
        <w:rPr>
          <w:rFonts w:hint="eastAsia" w:ascii="仿宋_GB2312" w:hAnsi="仿宋_GB2312" w:eastAsia="仿宋_GB2312" w:cs="仿宋_GB2312"/>
          <w:spacing w:val="0"/>
          <w:w w:val="100"/>
          <w:sz w:val="32"/>
          <w:szCs w:val="32"/>
          <w:lang w:eastAsia="zh-CN"/>
        </w:rPr>
        <w:t>）主导产品在国内或国际细分市场占有率达到</w:t>
      </w:r>
      <w:r>
        <w:rPr>
          <w:rFonts w:hint="eastAsia" w:ascii="Times New Roman" w:hAnsi="Times New Roman" w:eastAsia="仿宋" w:cs="Times New Roman"/>
          <w:color w:val="000000"/>
          <w:spacing w:val="0"/>
          <w:kern w:val="2"/>
          <w:sz w:val="32"/>
          <w:szCs w:val="32"/>
          <w:highlight w:val="none"/>
          <w:u w:val="none"/>
          <w:lang w:val="en-US" w:eastAsia="zh-CN" w:bidi="ar"/>
        </w:rPr>
        <w:t>10</w:t>
      </w:r>
      <w:r>
        <w:rPr>
          <w:rFonts w:hint="eastAsia" w:ascii="仿宋_GB2312" w:hAnsi="仿宋_GB2312" w:eastAsia="仿宋_GB2312" w:cs="仿宋_GB2312"/>
          <w:spacing w:val="0"/>
          <w:w w:val="100"/>
          <w:sz w:val="32"/>
          <w:szCs w:val="32"/>
          <w:lang w:eastAsia="zh-CN"/>
        </w:rPr>
        <w:t>%以上或国内前三名，且享有较高知名度、影响力。</w:t>
      </w:r>
    </w:p>
    <w:p w14:paraId="6CB6BE6E">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ascii="Times New Roman" w:hAnsi="Times New Roman" w:eastAsia="仿宋_GB2312" w:cs="仿宋"/>
          <w:spacing w:val="0"/>
          <w:w w:val="100"/>
          <w:sz w:val="32"/>
          <w:szCs w:val="32"/>
        </w:rPr>
      </w:pPr>
      <w:r>
        <w:rPr>
          <w:rFonts w:hint="eastAsia" w:ascii="仿宋_GB2312" w:hAnsi="仿宋_GB2312" w:eastAsia="仿宋_GB2312" w:cs="仿宋_GB2312"/>
          <w:spacing w:val="0"/>
          <w:w w:val="100"/>
          <w:sz w:val="32"/>
          <w:szCs w:val="32"/>
          <w:lang w:eastAsia="zh-CN"/>
        </w:rPr>
        <w:t>（</w:t>
      </w:r>
      <w:r>
        <w:rPr>
          <w:rFonts w:hint="eastAsia" w:ascii="仿宋_GB2312" w:hAnsi="仿宋_GB2312" w:eastAsia="仿宋_GB2312" w:cs="仿宋_GB2312"/>
          <w:spacing w:val="0"/>
          <w:w w:val="100"/>
          <w:sz w:val="32"/>
          <w:szCs w:val="32"/>
          <w:lang w:val="en-US" w:eastAsia="zh-CN"/>
        </w:rPr>
        <w:t>六</w:t>
      </w:r>
      <w:r>
        <w:rPr>
          <w:rFonts w:hint="eastAsia" w:ascii="仿宋_GB2312" w:hAnsi="仿宋_GB2312" w:eastAsia="仿宋_GB2312" w:cs="仿宋_GB2312"/>
          <w:spacing w:val="0"/>
          <w:w w:val="100"/>
          <w:sz w:val="32"/>
          <w:szCs w:val="32"/>
          <w:lang w:eastAsia="zh-CN"/>
        </w:rPr>
        <w:t>）主导产品属于制造业核心基础零部件、核心基础</w:t>
      </w:r>
      <w:r>
        <w:rPr>
          <w:rFonts w:hint="eastAsia" w:ascii="仿宋_GB2312" w:hAnsi="仿宋_GB2312" w:eastAsia="仿宋_GB2312" w:cs="仿宋_GB2312"/>
          <w:spacing w:val="0"/>
          <w:w w:val="100"/>
          <w:sz w:val="32"/>
          <w:szCs w:val="32"/>
          <w:lang w:val="en-US" w:eastAsia="zh-CN"/>
        </w:rPr>
        <w:t>元</w:t>
      </w:r>
      <w:r>
        <w:rPr>
          <w:rFonts w:hint="eastAsia" w:ascii="仿宋_GB2312" w:hAnsi="仿宋_GB2312" w:eastAsia="仿宋_GB2312" w:cs="仿宋_GB2312"/>
          <w:spacing w:val="0"/>
          <w:w w:val="100"/>
          <w:sz w:val="32"/>
          <w:szCs w:val="32"/>
          <w:lang w:eastAsia="zh-CN"/>
        </w:rPr>
        <w:t>器件、关键软件、先进基础工艺、关键基础材料、产业技术基础，或属于改造提升传统产业、培育壮大新兴产业、布局建设未来产业，位于产业链关键环节，对提升产业链供应链韧性和安全水平发挥重要作用</w:t>
      </w:r>
      <w:r>
        <w:rPr>
          <w:rFonts w:ascii="Times New Roman" w:hAnsi="Times New Roman" w:eastAsia="仿宋_GB2312" w:cs="仿宋"/>
          <w:spacing w:val="0"/>
          <w:w w:val="100"/>
          <w:sz w:val="32"/>
          <w:szCs w:val="32"/>
        </w:rPr>
        <w:t>。</w:t>
      </w:r>
    </w:p>
    <w:p w14:paraId="0B8A4B95">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Times New Roman" w:hAnsi="Times New Roman" w:eastAsia="仿宋_GB2312" w:cs="仿宋"/>
          <w:spacing w:val="0"/>
          <w:w w:val="100"/>
          <w:sz w:val="32"/>
          <w:szCs w:val="32"/>
          <w:lang w:val="en-US" w:eastAsia="zh-CN"/>
        </w:rPr>
      </w:pPr>
      <w:r>
        <w:rPr>
          <w:rFonts w:hint="eastAsia" w:ascii="Times New Roman" w:hAnsi="Times New Roman" w:eastAsia="仿宋_GB2312" w:cs="仿宋"/>
          <w:spacing w:val="0"/>
          <w:w w:val="100"/>
          <w:sz w:val="32"/>
          <w:szCs w:val="32"/>
          <w:lang w:eastAsia="zh-CN"/>
        </w:rPr>
        <w:t>（</w:t>
      </w:r>
      <w:r>
        <w:rPr>
          <w:rFonts w:hint="eastAsia" w:ascii="Times New Roman" w:hAnsi="Times New Roman" w:eastAsia="仿宋_GB2312" w:cs="仿宋"/>
          <w:spacing w:val="0"/>
          <w:w w:val="100"/>
          <w:sz w:val="32"/>
          <w:szCs w:val="32"/>
          <w:lang w:val="en-US" w:eastAsia="zh-CN"/>
        </w:rPr>
        <w:t>七）本年度中小企业专精特新发展评价得分达60分以上（复核企业近两年任意一年达60分以上即可）。指标体系见《中小企业专精特新发展评价指标体系（试行）》。</w:t>
      </w:r>
    </w:p>
    <w:p w14:paraId="2F1F4F87">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0" w:firstLineChars="0"/>
        <w:jc w:val="both"/>
        <w:textAlignment w:val="baseline"/>
        <w:rPr>
          <w:rFonts w:hint="eastAsia" w:ascii="Times New Roman" w:hAnsi="Times New Roman" w:eastAsia="仿宋_GB2312" w:cs="仿宋"/>
          <w:spacing w:val="0"/>
          <w:w w:val="100"/>
          <w:sz w:val="32"/>
          <w:szCs w:val="32"/>
          <w:lang w:val="en-US" w:eastAsia="zh-CN"/>
        </w:rPr>
      </w:pPr>
      <w:r>
        <w:rPr>
          <w:rFonts w:hint="eastAsia" w:ascii="Times New Roman" w:hAnsi="Times New Roman" w:eastAsia="仿宋_GB2312" w:cs="仿宋"/>
          <w:spacing w:val="0"/>
          <w:w w:val="100"/>
          <w:sz w:val="32"/>
          <w:szCs w:val="32"/>
          <w:lang w:val="en-US" w:eastAsia="zh-CN"/>
        </w:rPr>
        <w:t>附件2-3</w:t>
      </w:r>
    </w:p>
    <w:p w14:paraId="395A8FEF">
      <w:pPr>
        <w:keepNext w:val="0"/>
        <w:keepLines w:val="0"/>
        <w:pageBreakBefore w:val="0"/>
        <w:widowControl w:val="0"/>
        <w:suppressLineNumbers w:val="0"/>
        <w:kinsoku/>
        <w:wordWrap/>
        <w:overflowPunct/>
        <w:topLinePunct/>
        <w:autoSpaceDE w:val="0"/>
        <w:autoSpaceDN w:val="0"/>
        <w:bidi w:val="0"/>
        <w:adjustRightInd w:val="0"/>
        <w:snapToGrid w:val="0"/>
        <w:spacing w:before="313" w:beforeLines="100" w:after="313" w:afterLines="100" w:line="540" w:lineRule="exact"/>
        <w:ind w:firstLine="0" w:firstLineChars="0"/>
        <w:jc w:val="center"/>
        <w:textAlignment w:val="baseline"/>
        <w:rPr>
          <w:rFonts w:hint="eastAsia" w:ascii="方正小标宋简体" w:hAnsi="方正小标宋简体" w:eastAsia="方正小标宋简体" w:cs="方正小标宋简体"/>
          <w:spacing w:val="0"/>
          <w:w w:val="100"/>
          <w:sz w:val="44"/>
          <w:szCs w:val="44"/>
          <w:lang w:val="en-US" w:eastAsia="zh-CN"/>
        </w:rPr>
      </w:pPr>
      <w:r>
        <w:rPr>
          <w:rFonts w:hint="eastAsia" w:ascii="方正小标宋简体" w:hAnsi="方正小标宋简体" w:eastAsia="方正小标宋简体" w:cs="方正小标宋简体"/>
          <w:spacing w:val="0"/>
          <w:w w:val="100"/>
          <w:sz w:val="44"/>
          <w:szCs w:val="44"/>
          <w:lang w:val="en-US" w:eastAsia="zh-CN"/>
        </w:rPr>
        <w:t>部分指标和要求说明</w:t>
      </w:r>
    </w:p>
    <w:p w14:paraId="5D249E0A">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(一)指标中如对期限无特殊说明,以企业上一会计年度审计报告期末数为准。对于存在子公司或母公司的企业,按财政部印发的《企业会计准则》有关规定执行。</w:t>
      </w:r>
    </w:p>
    <w:p w14:paraId="75D40A86">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二)所称“较大生产安全事故、重大网络和数据安全事件、重大环境违法行为、严重质量问题、严重违反相关行业管理规定”包含更加严重的情形,以生产安全、网络安全、数据安全、环境保护、产品质量等监管部门以及相关行业主管部门,依据《中华人民共和国安全生产法》《生产安全事故报告和调查处理条例》《中华人民共和国网络安全法》《国家网络安全事件报告管理办法》《中华人民共和国数据安全法》《工业和信息化领域数据安全事件应急预案》《中华人民共和国环境保护法》《中华人民共和国产品质量法》等法律法规,最高人民法院、最高人民检察院司法解释,部门规章以及地方法规等判定结果为准。</w:t>
      </w:r>
    </w:p>
    <w:p w14:paraId="16C8304E">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(三)所称“主导产品”是指企业核心技术在产品中发挥重要作用,且产品收入之和占企业同期营业收入比重超过 50%。</w:t>
      </w:r>
    </w:p>
    <w:p w14:paraId="69776457">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(四)所称“主导产品在国内或国际细分市场占有率达到10%以上或国内前三名,且享有较高知名度和影响力”,企业如实说明即可。</w:t>
      </w:r>
    </w:p>
    <w:p w14:paraId="15517892">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(五)所称“国家级科技奖励”包括国家科学技术进步奖、国家自然科学奖、国家技术发明奖,以及国防科技奖。</w:t>
      </w:r>
    </w:p>
    <w:p w14:paraId="5899F4B8">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(六)所称“经认定的省部级研发机构”包括省部级政府部门认定的技术研究院、技术工程中心、设计中心、重点实验室等各类研发机构。</w:t>
      </w:r>
    </w:p>
    <w:p w14:paraId="195F69C1">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七)所称“Ι类知识产权”均不包含转入的Ι类知识产权,且申请企业应在权利人中排名前三;包括发明专利(含国防专利)、植物新品种、国家级农作物品种、国家新药、国家一级中药保护品种、集成电路布图设计专有权。</w:t>
      </w:r>
    </w:p>
    <w:p w14:paraId="24AF3C64">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(八)如无特殊说明,所称“以上”、“以下”,包括本数。</w:t>
      </w:r>
    </w:p>
    <w:p w14:paraId="006F0708">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(九)所 称 经 营 异 常 以 国 家 企 业 信 用 信 息 公 示 系 统(http://www.gsxt.gov.cn)查询结果或省级中小企业主管部门实地核查结果为准;所称 “严重失信主体名单 ”以信用中国(http://www.creditchina.gov.cn)查询结果或有关政府部门出具的失信主体名单为准。</w:t>
      </w:r>
    </w:p>
    <w:p w14:paraId="38F3320A">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(十)所称“对中小企业专精特新发展质量进行评价”,是指依据《中小企业专精特新发展评价(试行)》组织开展的评价工作,不包含加分项。</w:t>
      </w:r>
    </w:p>
    <w:p w14:paraId="76B46DAF">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(十一)企业只需按照自身所获得最高一级称号参加复核工作。</w:t>
      </w:r>
    </w:p>
    <w:p w14:paraId="63235941">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(十二)所称“简单更名”,是指企业因经营发展需要,仅在市场监管部门发生名称变更,不涉及与认定条件有关的重大变化(如分立、合并、重组、经营异常以及主导产品发生变化等)。</w:t>
      </w:r>
    </w:p>
    <w:p w14:paraId="7B88C71D">
      <w:pPr>
        <w:keepNext w:val="0"/>
        <w:keepLines w:val="0"/>
        <w:pageBreakBefore w:val="0"/>
        <w:widowControl w:val="0"/>
        <w:suppressLineNumbers w:val="0"/>
        <w:kinsoku/>
        <w:wordWrap/>
        <w:overflowPunct/>
        <w:topLinePunct/>
        <w:autoSpaceDE w:val="0"/>
        <w:autoSpaceDN w:val="0"/>
        <w:bidi w:val="0"/>
        <w:adjustRightInd w:val="0"/>
        <w:snapToGrid w:val="0"/>
        <w:spacing w:beforeLines="0" w:line="540" w:lineRule="exact"/>
        <w:ind w:firstLine="640" w:firstLineChars="200"/>
        <w:jc w:val="both"/>
        <w:textAlignment w:val="baseline"/>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(十三)在本办法正式实施前启动的专精特新中小企业和专精特新“小巨人”企业复核工作,可按照原标准实施。</w:t>
      </w:r>
    </w:p>
    <w:sectPr>
      <w:footerReference r:id="rId4" w:type="default"/>
      <w:pgSz w:w="11906" w:h="16838"/>
      <w:pgMar w:top="1440" w:right="1746" w:bottom="1440" w:left="174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9825C0-F0FE-4F40-8900-7FC043F801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DA1DC67-E0BA-45E6-AC48-11B5563A64EE}"/>
  </w:font>
  <w:font w:name="仿宋_GB2312">
    <w:altName w:val="仿宋"/>
    <w:panose1 w:val="02010609030101010101"/>
    <w:charset w:val="86"/>
    <w:family w:val="auto"/>
    <w:pitch w:val="default"/>
    <w:sig w:usb0="00000001" w:usb1="080E0000" w:usb2="00000000" w:usb3="00000000" w:csb0="00040000" w:csb1="00000000"/>
    <w:embedRegular r:id="rId3" w:fontKey="{AE855B50-93BB-4600-B446-16F7EA5D89D9}"/>
  </w:font>
  <w:font w:name="仿宋">
    <w:panose1 w:val="02010609060101010101"/>
    <w:charset w:val="86"/>
    <w:family w:val="auto"/>
    <w:pitch w:val="default"/>
    <w:sig w:usb0="800002BF" w:usb1="38CF7CFA" w:usb2="00000016" w:usb3="00000000" w:csb0="00040001" w:csb1="00000000"/>
    <w:embedRegular r:id="rId4" w:fontKey="{D4A83D85-1A85-4FC5-883E-C99FC24DA4DB}"/>
  </w:font>
  <w:font w:name="方正小标宋简体">
    <w:panose1 w:val="02010600010101010101"/>
    <w:charset w:val="86"/>
    <w:family w:val="auto"/>
    <w:pitch w:val="default"/>
    <w:sig w:usb0="00000001" w:usb1="080E0000" w:usb2="00000000" w:usb3="00000000" w:csb0="00040000" w:csb1="00000000"/>
    <w:embedRegular r:id="rId5" w:fontKey="{AA281E01-C2BF-4BFF-83E9-B54F5E4C5649}"/>
  </w:font>
  <w:font w:name="楷体_GB2312">
    <w:altName w:val="楷体"/>
    <w:panose1 w:val="02010609030101010101"/>
    <w:charset w:val="86"/>
    <w:family w:val="modern"/>
    <w:pitch w:val="default"/>
    <w:sig w:usb0="00000001" w:usb1="080E0000" w:usb2="00000000" w:usb3="00000000" w:csb0="00040000" w:csb1="00000000"/>
    <w:embedRegular r:id="rId6" w:fontKey="{2FA5CE76-6A7F-4C5F-A278-6EBF8923E70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95F6A">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432B88">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94BAAC+AwAADgAAAGRycy9lMm9Eb2MueG1srVPBjtMwEL0j8Q+W&#10;7zTZC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n5f773gEAAL4DAAAOAAAAAAAA&#10;AAEAIAAAAB4BAABkcnMvZTJvRG9jLnhtbFBLBQYAAAAABgAGAFkBAABuBQAAAAA=&#10;">
              <v:fill on="f" focussize="0,0"/>
              <v:stroke on="f"/>
              <v:imagedata o:title=""/>
              <o:lock v:ext="edit" aspectratio="f"/>
              <v:textbox inset="0mm,0mm,0mm,0mm" style="mso-fit-shape-to-text:t;">
                <w:txbxContent>
                  <w:p w14:paraId="37432B88">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ADE0A9"/>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6ADE0A9"/>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2ECA">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9F5F79">
                          <w:pPr>
                            <w:pStyle w:val="2"/>
                          </w:pPr>
                          <w:r>
                            <w:fldChar w:fldCharType="begin"/>
                          </w:r>
                          <w:r>
                            <w:instrText xml:space="preserve"> PAGE  \* MERGEFORMAT </w:instrText>
                          </w:r>
                          <w:r>
                            <w:fldChar w:fldCharType="separate"/>
                          </w:r>
                          <w:r>
                            <w:t>11</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G4C8N3gEAAL4DAAAOAAAAAAAA&#10;AAEAIAAAAB4BAABkcnMvZTJvRG9jLnhtbFBLBQYAAAAABgAGAFkBAABuBQAAAAA=&#10;">
              <v:fill on="f" focussize="0,0"/>
              <v:stroke on="f"/>
              <v:imagedata o:title=""/>
              <o:lock v:ext="edit" aspectratio="f"/>
              <v:textbox inset="0mm,0mm,0mm,0mm" style="mso-fit-shape-to-text:t;">
                <w:txbxContent>
                  <w:p w14:paraId="419F5F79">
                    <w:pPr>
                      <w:pStyle w:val="2"/>
                    </w:pPr>
                    <w:r>
                      <w:fldChar w:fldCharType="begin"/>
                    </w:r>
                    <w:r>
                      <w:instrText xml:space="preserve"> PAGE  \* MERGEFORMAT </w:instrText>
                    </w:r>
                    <w:r>
                      <w:fldChar w:fldCharType="separate"/>
                    </w:r>
                    <w:r>
                      <w:t>11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5A5029"/>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1A5A5029"/>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B074BF">
                          <w:pPr>
                            <w:pStyle w:val="2"/>
                            <w:rPr>
                              <w:rFonts w:hint="eastAsia" w:ascii="宋体" w:hAnsi="宋体" w:cs="宋体"/>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24B074BF">
                    <w:pPr>
                      <w:pStyle w:val="2"/>
                      <w:rPr>
                        <w:rFonts w:hint="eastAsia" w:ascii="宋体" w:hAnsi="宋体" w:cs="宋体"/>
                        <w:sz w:val="21"/>
                        <w:szCs w:val="21"/>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MjY1MjU4YjA0ZWY3MTg4MTc0ZGMyYWU0MTVjZjgifQ=="/>
  </w:docVars>
  <w:rsids>
    <w:rsidRoot w:val="8F67CAB8"/>
    <w:rsid w:val="02203B3A"/>
    <w:rsid w:val="03933BE9"/>
    <w:rsid w:val="03BA1D7D"/>
    <w:rsid w:val="044B5C36"/>
    <w:rsid w:val="05655A19"/>
    <w:rsid w:val="06EE783E"/>
    <w:rsid w:val="07EEDD7A"/>
    <w:rsid w:val="0BCB68CB"/>
    <w:rsid w:val="0D0F5ED4"/>
    <w:rsid w:val="0DCE1203"/>
    <w:rsid w:val="0DFA5F9F"/>
    <w:rsid w:val="0F232783"/>
    <w:rsid w:val="0F481913"/>
    <w:rsid w:val="0F7F0732"/>
    <w:rsid w:val="0F9A0E42"/>
    <w:rsid w:val="0FFF7DAE"/>
    <w:rsid w:val="157F1206"/>
    <w:rsid w:val="15EBD368"/>
    <w:rsid w:val="167DFEEC"/>
    <w:rsid w:val="16B6126A"/>
    <w:rsid w:val="17BE1556"/>
    <w:rsid w:val="17F78951"/>
    <w:rsid w:val="19FB736E"/>
    <w:rsid w:val="1B7D3BFF"/>
    <w:rsid w:val="1BE849A7"/>
    <w:rsid w:val="1BEF40BA"/>
    <w:rsid w:val="1D6B1933"/>
    <w:rsid w:val="1D7F2B46"/>
    <w:rsid w:val="1D7FE10B"/>
    <w:rsid w:val="1DD17CD0"/>
    <w:rsid w:val="1DFA8DD4"/>
    <w:rsid w:val="1EB7B002"/>
    <w:rsid w:val="1EDDC8A4"/>
    <w:rsid w:val="1F760000"/>
    <w:rsid w:val="1FAF7A32"/>
    <w:rsid w:val="1FBFD3A3"/>
    <w:rsid w:val="1FC361B6"/>
    <w:rsid w:val="1FF70BBA"/>
    <w:rsid w:val="1FFF8644"/>
    <w:rsid w:val="1FFFBB5F"/>
    <w:rsid w:val="212F1573"/>
    <w:rsid w:val="227F5218"/>
    <w:rsid w:val="22B624F2"/>
    <w:rsid w:val="25D53C10"/>
    <w:rsid w:val="25F74A5D"/>
    <w:rsid w:val="26D995D7"/>
    <w:rsid w:val="27DD315D"/>
    <w:rsid w:val="27EDF3E4"/>
    <w:rsid w:val="27FF31AD"/>
    <w:rsid w:val="2B5759BE"/>
    <w:rsid w:val="2BFFF117"/>
    <w:rsid w:val="2CEA35A0"/>
    <w:rsid w:val="2DFB5BFF"/>
    <w:rsid w:val="2DFE1D0C"/>
    <w:rsid w:val="2EFFDD8D"/>
    <w:rsid w:val="2F255348"/>
    <w:rsid w:val="2F9BC33C"/>
    <w:rsid w:val="2FBD2258"/>
    <w:rsid w:val="2FC723EB"/>
    <w:rsid w:val="2FC9055F"/>
    <w:rsid w:val="2FDF01FA"/>
    <w:rsid w:val="2FDF04AF"/>
    <w:rsid w:val="2FF7879D"/>
    <w:rsid w:val="316B2EA3"/>
    <w:rsid w:val="327F8035"/>
    <w:rsid w:val="32F3BA68"/>
    <w:rsid w:val="33E53FDE"/>
    <w:rsid w:val="33E6B747"/>
    <w:rsid w:val="33EB657E"/>
    <w:rsid w:val="33FCFE0C"/>
    <w:rsid w:val="33FD4DAD"/>
    <w:rsid w:val="35F6C677"/>
    <w:rsid w:val="36A75FFC"/>
    <w:rsid w:val="36EF0933"/>
    <w:rsid w:val="36FA0222"/>
    <w:rsid w:val="373EC9F8"/>
    <w:rsid w:val="377FD50F"/>
    <w:rsid w:val="37BEB221"/>
    <w:rsid w:val="37EA2097"/>
    <w:rsid w:val="37FEE415"/>
    <w:rsid w:val="38FF3305"/>
    <w:rsid w:val="39FDDCEF"/>
    <w:rsid w:val="3A3A9397"/>
    <w:rsid w:val="3AD962C7"/>
    <w:rsid w:val="3BBDC941"/>
    <w:rsid w:val="3BFF5B98"/>
    <w:rsid w:val="3BFF8B87"/>
    <w:rsid w:val="3CB614BC"/>
    <w:rsid w:val="3CBBD636"/>
    <w:rsid w:val="3CC5A7CD"/>
    <w:rsid w:val="3CFD3D7B"/>
    <w:rsid w:val="3CFF45AB"/>
    <w:rsid w:val="3D3D129B"/>
    <w:rsid w:val="3D72A804"/>
    <w:rsid w:val="3DBD54AA"/>
    <w:rsid w:val="3DCE9445"/>
    <w:rsid w:val="3DD5D20E"/>
    <w:rsid w:val="3DD96F0F"/>
    <w:rsid w:val="3DEFDE6B"/>
    <w:rsid w:val="3DFD527E"/>
    <w:rsid w:val="3E3600E5"/>
    <w:rsid w:val="3E760A50"/>
    <w:rsid w:val="3EDFE302"/>
    <w:rsid w:val="3EF11D8F"/>
    <w:rsid w:val="3EFF75DC"/>
    <w:rsid w:val="3F1F74B8"/>
    <w:rsid w:val="3F2C54FE"/>
    <w:rsid w:val="3F440AD6"/>
    <w:rsid w:val="3F609366"/>
    <w:rsid w:val="3F7EAED3"/>
    <w:rsid w:val="3FB34729"/>
    <w:rsid w:val="3FBEF360"/>
    <w:rsid w:val="3FBF2EBF"/>
    <w:rsid w:val="3FBF571D"/>
    <w:rsid w:val="3FBFBC4A"/>
    <w:rsid w:val="3FDFAFC3"/>
    <w:rsid w:val="3FFB80F5"/>
    <w:rsid w:val="3FFB9127"/>
    <w:rsid w:val="3FFE2B11"/>
    <w:rsid w:val="3FFF5129"/>
    <w:rsid w:val="3FFF6773"/>
    <w:rsid w:val="3FFFBAEA"/>
    <w:rsid w:val="3FFFBD1A"/>
    <w:rsid w:val="3FFFED03"/>
    <w:rsid w:val="415A5C35"/>
    <w:rsid w:val="41831414"/>
    <w:rsid w:val="41FF3E9B"/>
    <w:rsid w:val="44DC3C72"/>
    <w:rsid w:val="45E7C682"/>
    <w:rsid w:val="49EE6DF2"/>
    <w:rsid w:val="4A3F290F"/>
    <w:rsid w:val="4AEFFBE1"/>
    <w:rsid w:val="4B765ACD"/>
    <w:rsid w:val="4BFDF6EC"/>
    <w:rsid w:val="4C7BD555"/>
    <w:rsid w:val="4CA4C3C5"/>
    <w:rsid w:val="4D1FBE33"/>
    <w:rsid w:val="4E8FCBA6"/>
    <w:rsid w:val="4EFFB5D9"/>
    <w:rsid w:val="4F23472A"/>
    <w:rsid w:val="4F6422A8"/>
    <w:rsid w:val="4FB1A135"/>
    <w:rsid w:val="4FBA2051"/>
    <w:rsid w:val="4FBB56B1"/>
    <w:rsid w:val="4FCF281B"/>
    <w:rsid w:val="4FE3B1E5"/>
    <w:rsid w:val="4FECF9D6"/>
    <w:rsid w:val="4FF56632"/>
    <w:rsid w:val="4FF6502A"/>
    <w:rsid w:val="4FF717AB"/>
    <w:rsid w:val="4FFB1468"/>
    <w:rsid w:val="4FFF7670"/>
    <w:rsid w:val="51AD1B37"/>
    <w:rsid w:val="52F628A8"/>
    <w:rsid w:val="52F902C6"/>
    <w:rsid w:val="534E1AB2"/>
    <w:rsid w:val="53FBE060"/>
    <w:rsid w:val="556628D3"/>
    <w:rsid w:val="5569CC50"/>
    <w:rsid w:val="55CDDC7B"/>
    <w:rsid w:val="55FA1613"/>
    <w:rsid w:val="55FF0A8A"/>
    <w:rsid w:val="56340058"/>
    <w:rsid w:val="5669ADD2"/>
    <w:rsid w:val="569FCFAD"/>
    <w:rsid w:val="56BFDFC3"/>
    <w:rsid w:val="56E331CC"/>
    <w:rsid w:val="56EB0267"/>
    <w:rsid w:val="57B50D90"/>
    <w:rsid w:val="57BFE3E2"/>
    <w:rsid w:val="57BFE97B"/>
    <w:rsid w:val="57DA821D"/>
    <w:rsid w:val="57E73C3B"/>
    <w:rsid w:val="57ED8384"/>
    <w:rsid w:val="57FD9577"/>
    <w:rsid w:val="58750C82"/>
    <w:rsid w:val="58E7AE23"/>
    <w:rsid w:val="59EF5132"/>
    <w:rsid w:val="59FF301C"/>
    <w:rsid w:val="5AF9DB71"/>
    <w:rsid w:val="5AFFB6FA"/>
    <w:rsid w:val="5B5DD138"/>
    <w:rsid w:val="5B7D6F13"/>
    <w:rsid w:val="5BBEEC9D"/>
    <w:rsid w:val="5BBF3225"/>
    <w:rsid w:val="5BBFBCDB"/>
    <w:rsid w:val="5BEDD33A"/>
    <w:rsid w:val="5BFF227C"/>
    <w:rsid w:val="5C6B31F7"/>
    <w:rsid w:val="5C772470"/>
    <w:rsid w:val="5C7F4B11"/>
    <w:rsid w:val="5C8E6652"/>
    <w:rsid w:val="5C8F61FA"/>
    <w:rsid w:val="5CFBB125"/>
    <w:rsid w:val="5D9FE7C2"/>
    <w:rsid w:val="5D9FE84F"/>
    <w:rsid w:val="5DAF5D4E"/>
    <w:rsid w:val="5DDE73E6"/>
    <w:rsid w:val="5DDF8C7F"/>
    <w:rsid w:val="5DF230E1"/>
    <w:rsid w:val="5DF7538E"/>
    <w:rsid w:val="5DFDCAC5"/>
    <w:rsid w:val="5DFF4A71"/>
    <w:rsid w:val="5E3951F7"/>
    <w:rsid w:val="5E57503A"/>
    <w:rsid w:val="5EBD5B0D"/>
    <w:rsid w:val="5EBF6D07"/>
    <w:rsid w:val="5EDBEFC3"/>
    <w:rsid w:val="5EF633DB"/>
    <w:rsid w:val="5EFDBB77"/>
    <w:rsid w:val="5F5B5F18"/>
    <w:rsid w:val="5F5F5D1F"/>
    <w:rsid w:val="5F6A3927"/>
    <w:rsid w:val="5F7A9133"/>
    <w:rsid w:val="5F7E32F9"/>
    <w:rsid w:val="5F7F0151"/>
    <w:rsid w:val="5F7F1CB1"/>
    <w:rsid w:val="5F7FD4CB"/>
    <w:rsid w:val="5F7FD9A6"/>
    <w:rsid w:val="5FA54965"/>
    <w:rsid w:val="5FA906ED"/>
    <w:rsid w:val="5FB2D78B"/>
    <w:rsid w:val="5FB73E8C"/>
    <w:rsid w:val="5FBFFE61"/>
    <w:rsid w:val="5FC30D79"/>
    <w:rsid w:val="5FC7D933"/>
    <w:rsid w:val="5FDF49FA"/>
    <w:rsid w:val="5FE848B4"/>
    <w:rsid w:val="5FECF17B"/>
    <w:rsid w:val="5FEF4381"/>
    <w:rsid w:val="5FF319B6"/>
    <w:rsid w:val="5FFAA665"/>
    <w:rsid w:val="5FFB48E8"/>
    <w:rsid w:val="5FFE834E"/>
    <w:rsid w:val="5FFF0BAF"/>
    <w:rsid w:val="5FFF8C79"/>
    <w:rsid w:val="5FFFEBA5"/>
    <w:rsid w:val="6019451C"/>
    <w:rsid w:val="60225204"/>
    <w:rsid w:val="60FF2807"/>
    <w:rsid w:val="617FC070"/>
    <w:rsid w:val="635D1D93"/>
    <w:rsid w:val="63FB7AD3"/>
    <w:rsid w:val="63FD9E74"/>
    <w:rsid w:val="63FF967C"/>
    <w:rsid w:val="643CA1F0"/>
    <w:rsid w:val="649063DE"/>
    <w:rsid w:val="64BD13B0"/>
    <w:rsid w:val="64CE18FE"/>
    <w:rsid w:val="6567AE14"/>
    <w:rsid w:val="65AB82D7"/>
    <w:rsid w:val="65F32123"/>
    <w:rsid w:val="670FED8E"/>
    <w:rsid w:val="677C6303"/>
    <w:rsid w:val="677D8F54"/>
    <w:rsid w:val="67AF67F1"/>
    <w:rsid w:val="67CF0BEB"/>
    <w:rsid w:val="67D73672"/>
    <w:rsid w:val="67ED4FF6"/>
    <w:rsid w:val="67F521CD"/>
    <w:rsid w:val="67FBE62D"/>
    <w:rsid w:val="68F741A3"/>
    <w:rsid w:val="699A6F4E"/>
    <w:rsid w:val="69FB4B8D"/>
    <w:rsid w:val="69FFF9D3"/>
    <w:rsid w:val="6A12A8DD"/>
    <w:rsid w:val="6AEB3D8D"/>
    <w:rsid w:val="6AF79D85"/>
    <w:rsid w:val="6B385E47"/>
    <w:rsid w:val="6B3A767D"/>
    <w:rsid w:val="6B5F168F"/>
    <w:rsid w:val="6B79970C"/>
    <w:rsid w:val="6B7D7C70"/>
    <w:rsid w:val="6B8FC9FF"/>
    <w:rsid w:val="6B9EA85B"/>
    <w:rsid w:val="6B9F7AB6"/>
    <w:rsid w:val="6BBD67EB"/>
    <w:rsid w:val="6BBF6489"/>
    <w:rsid w:val="6BBFF025"/>
    <w:rsid w:val="6BDD6C1A"/>
    <w:rsid w:val="6BE87AD0"/>
    <w:rsid w:val="6BEF55DB"/>
    <w:rsid w:val="6BF5999C"/>
    <w:rsid w:val="6BFF1309"/>
    <w:rsid w:val="6BFF638B"/>
    <w:rsid w:val="6CA714A6"/>
    <w:rsid w:val="6CFF73B7"/>
    <w:rsid w:val="6D3D02D2"/>
    <w:rsid w:val="6D6EB9F4"/>
    <w:rsid w:val="6DCF370B"/>
    <w:rsid w:val="6DEF1567"/>
    <w:rsid w:val="6DEF21A3"/>
    <w:rsid w:val="6E7E9354"/>
    <w:rsid w:val="6ECA17BF"/>
    <w:rsid w:val="6EDFAAD6"/>
    <w:rsid w:val="6EDFF660"/>
    <w:rsid w:val="6EE63069"/>
    <w:rsid w:val="6EE78809"/>
    <w:rsid w:val="6EEB2D57"/>
    <w:rsid w:val="6EEBCD33"/>
    <w:rsid w:val="6EF62195"/>
    <w:rsid w:val="6EFDFE92"/>
    <w:rsid w:val="6EFF2566"/>
    <w:rsid w:val="6EFF63B1"/>
    <w:rsid w:val="6EFF73D9"/>
    <w:rsid w:val="6EFFF031"/>
    <w:rsid w:val="6F65B6F6"/>
    <w:rsid w:val="6F6E2D35"/>
    <w:rsid w:val="6F752853"/>
    <w:rsid w:val="6F7F6C2D"/>
    <w:rsid w:val="6F7F91D1"/>
    <w:rsid w:val="6F99B309"/>
    <w:rsid w:val="6FAFC774"/>
    <w:rsid w:val="6FB54D8F"/>
    <w:rsid w:val="6FB73C4B"/>
    <w:rsid w:val="6FBBD4F9"/>
    <w:rsid w:val="6FBC5DA8"/>
    <w:rsid w:val="6FBF903A"/>
    <w:rsid w:val="6FBFABFB"/>
    <w:rsid w:val="6FBFB8F4"/>
    <w:rsid w:val="6FCA041E"/>
    <w:rsid w:val="6FD430C6"/>
    <w:rsid w:val="6FD43A90"/>
    <w:rsid w:val="6FD5A994"/>
    <w:rsid w:val="6FD63A2F"/>
    <w:rsid w:val="6FD8E814"/>
    <w:rsid w:val="6FDD944D"/>
    <w:rsid w:val="6FDF73DE"/>
    <w:rsid w:val="6FE7ED03"/>
    <w:rsid w:val="6FF3643D"/>
    <w:rsid w:val="6FF8AF6D"/>
    <w:rsid w:val="6FFCBE85"/>
    <w:rsid w:val="6FFE7503"/>
    <w:rsid w:val="6FFF5C7E"/>
    <w:rsid w:val="70DFAA53"/>
    <w:rsid w:val="721638C3"/>
    <w:rsid w:val="72FB1091"/>
    <w:rsid w:val="72FBE861"/>
    <w:rsid w:val="72FDA94C"/>
    <w:rsid w:val="736F8114"/>
    <w:rsid w:val="737DAB57"/>
    <w:rsid w:val="7397532F"/>
    <w:rsid w:val="73A4020C"/>
    <w:rsid w:val="73A63487"/>
    <w:rsid w:val="73AF0A82"/>
    <w:rsid w:val="73BEEB8A"/>
    <w:rsid w:val="73BF1BD5"/>
    <w:rsid w:val="73F5DEFE"/>
    <w:rsid w:val="73F68583"/>
    <w:rsid w:val="73FEC051"/>
    <w:rsid w:val="73FF88A8"/>
    <w:rsid w:val="744B22DB"/>
    <w:rsid w:val="74EFB459"/>
    <w:rsid w:val="753031B5"/>
    <w:rsid w:val="754EB258"/>
    <w:rsid w:val="7576FC7D"/>
    <w:rsid w:val="75BF0DE2"/>
    <w:rsid w:val="75D014B7"/>
    <w:rsid w:val="75DCAE67"/>
    <w:rsid w:val="75E72736"/>
    <w:rsid w:val="75FDF0AA"/>
    <w:rsid w:val="75FF234A"/>
    <w:rsid w:val="75FFAF48"/>
    <w:rsid w:val="75FFF3E4"/>
    <w:rsid w:val="766E9A74"/>
    <w:rsid w:val="767F1545"/>
    <w:rsid w:val="767FD0DE"/>
    <w:rsid w:val="76AF6425"/>
    <w:rsid w:val="76BF35EB"/>
    <w:rsid w:val="76E51F20"/>
    <w:rsid w:val="76E5ECE5"/>
    <w:rsid w:val="76EAC1F3"/>
    <w:rsid w:val="773E01F3"/>
    <w:rsid w:val="775FEFF5"/>
    <w:rsid w:val="7766FD92"/>
    <w:rsid w:val="776F8FC0"/>
    <w:rsid w:val="777E8FFA"/>
    <w:rsid w:val="777F9B3F"/>
    <w:rsid w:val="77B34DB0"/>
    <w:rsid w:val="77B51269"/>
    <w:rsid w:val="77BB4DD3"/>
    <w:rsid w:val="77D03790"/>
    <w:rsid w:val="77D56778"/>
    <w:rsid w:val="77D7E975"/>
    <w:rsid w:val="77DD9984"/>
    <w:rsid w:val="77DF7B5B"/>
    <w:rsid w:val="77E672C4"/>
    <w:rsid w:val="77F7900B"/>
    <w:rsid w:val="77F7CCC3"/>
    <w:rsid w:val="77FDBECD"/>
    <w:rsid w:val="77FF05AD"/>
    <w:rsid w:val="77FF3642"/>
    <w:rsid w:val="77FF88DA"/>
    <w:rsid w:val="785FB435"/>
    <w:rsid w:val="787BF3FE"/>
    <w:rsid w:val="78D520B6"/>
    <w:rsid w:val="78DF4250"/>
    <w:rsid w:val="795456FA"/>
    <w:rsid w:val="7955AC3B"/>
    <w:rsid w:val="799F696F"/>
    <w:rsid w:val="79A70173"/>
    <w:rsid w:val="79ABA1F9"/>
    <w:rsid w:val="79BE8F54"/>
    <w:rsid w:val="79EF7A36"/>
    <w:rsid w:val="79F74AD1"/>
    <w:rsid w:val="7A3D3EFD"/>
    <w:rsid w:val="7ACB0AC3"/>
    <w:rsid w:val="7AFC24A1"/>
    <w:rsid w:val="7AFD4E1D"/>
    <w:rsid w:val="7B07763A"/>
    <w:rsid w:val="7B77EF95"/>
    <w:rsid w:val="7B7B285E"/>
    <w:rsid w:val="7B7F9844"/>
    <w:rsid w:val="7B9793B6"/>
    <w:rsid w:val="7B9F5CDE"/>
    <w:rsid w:val="7BAEB18E"/>
    <w:rsid w:val="7BAF32CE"/>
    <w:rsid w:val="7BD7E691"/>
    <w:rsid w:val="7BDD02F6"/>
    <w:rsid w:val="7BDD2782"/>
    <w:rsid w:val="7BDF6E54"/>
    <w:rsid w:val="7BE303EF"/>
    <w:rsid w:val="7BE72074"/>
    <w:rsid w:val="7BE75266"/>
    <w:rsid w:val="7BEE564A"/>
    <w:rsid w:val="7BF1B5ED"/>
    <w:rsid w:val="7BF7BA37"/>
    <w:rsid w:val="7BFB62C1"/>
    <w:rsid w:val="7BFEFE2C"/>
    <w:rsid w:val="7BFF8380"/>
    <w:rsid w:val="7BFFF7AD"/>
    <w:rsid w:val="7BFFFC8C"/>
    <w:rsid w:val="7C58E2E5"/>
    <w:rsid w:val="7C711E5F"/>
    <w:rsid w:val="7CA938C3"/>
    <w:rsid w:val="7CCF83F6"/>
    <w:rsid w:val="7CDBA1A7"/>
    <w:rsid w:val="7CFA4FC8"/>
    <w:rsid w:val="7CFF89BC"/>
    <w:rsid w:val="7D4D5F27"/>
    <w:rsid w:val="7D7CF5C6"/>
    <w:rsid w:val="7D7E71D2"/>
    <w:rsid w:val="7DBA39E0"/>
    <w:rsid w:val="7DBDA4EB"/>
    <w:rsid w:val="7DDF1AD0"/>
    <w:rsid w:val="7DF76CD5"/>
    <w:rsid w:val="7DFB53AC"/>
    <w:rsid w:val="7DFBA225"/>
    <w:rsid w:val="7DFD253C"/>
    <w:rsid w:val="7DFDBE70"/>
    <w:rsid w:val="7DFE40DE"/>
    <w:rsid w:val="7DFFD26D"/>
    <w:rsid w:val="7E4FC457"/>
    <w:rsid w:val="7E795427"/>
    <w:rsid w:val="7E7C7083"/>
    <w:rsid w:val="7E7F482B"/>
    <w:rsid w:val="7E7F6E37"/>
    <w:rsid w:val="7E9AB2CE"/>
    <w:rsid w:val="7E9B3034"/>
    <w:rsid w:val="7EAF02EB"/>
    <w:rsid w:val="7EB41AB3"/>
    <w:rsid w:val="7EB5278D"/>
    <w:rsid w:val="7EBE687B"/>
    <w:rsid w:val="7EBFFB28"/>
    <w:rsid w:val="7EDB21C0"/>
    <w:rsid w:val="7EDEA0D3"/>
    <w:rsid w:val="7EEE90E4"/>
    <w:rsid w:val="7EEFA23B"/>
    <w:rsid w:val="7EF7DE76"/>
    <w:rsid w:val="7EFAAB1A"/>
    <w:rsid w:val="7EFB2377"/>
    <w:rsid w:val="7EFBC3C2"/>
    <w:rsid w:val="7EFD095A"/>
    <w:rsid w:val="7EFD0A92"/>
    <w:rsid w:val="7EFD838D"/>
    <w:rsid w:val="7EFE63CC"/>
    <w:rsid w:val="7EFE9418"/>
    <w:rsid w:val="7EFFB948"/>
    <w:rsid w:val="7F0E37A9"/>
    <w:rsid w:val="7F262757"/>
    <w:rsid w:val="7F2B376B"/>
    <w:rsid w:val="7F3C822D"/>
    <w:rsid w:val="7F3F9149"/>
    <w:rsid w:val="7F3FDD7A"/>
    <w:rsid w:val="7F4FD2DE"/>
    <w:rsid w:val="7F5DC8B4"/>
    <w:rsid w:val="7F5EDCC5"/>
    <w:rsid w:val="7F5FC3EC"/>
    <w:rsid w:val="7F6F0E12"/>
    <w:rsid w:val="7F7E5110"/>
    <w:rsid w:val="7F7FB32F"/>
    <w:rsid w:val="7F7FF7ED"/>
    <w:rsid w:val="7F8D62C1"/>
    <w:rsid w:val="7F9E2C23"/>
    <w:rsid w:val="7FA166AE"/>
    <w:rsid w:val="7FA5DE07"/>
    <w:rsid w:val="7FAA03E2"/>
    <w:rsid w:val="7FAB56D6"/>
    <w:rsid w:val="7FAD5B27"/>
    <w:rsid w:val="7FB425EE"/>
    <w:rsid w:val="7FBE8761"/>
    <w:rsid w:val="7FBF040C"/>
    <w:rsid w:val="7FBFCA01"/>
    <w:rsid w:val="7FD72BAD"/>
    <w:rsid w:val="7FD75CB9"/>
    <w:rsid w:val="7FDB757B"/>
    <w:rsid w:val="7FDE19C5"/>
    <w:rsid w:val="7FDF1AAB"/>
    <w:rsid w:val="7FDF27CC"/>
    <w:rsid w:val="7FE26429"/>
    <w:rsid w:val="7FEE1222"/>
    <w:rsid w:val="7FF1C945"/>
    <w:rsid w:val="7FF46E59"/>
    <w:rsid w:val="7FF78A91"/>
    <w:rsid w:val="7FFA662F"/>
    <w:rsid w:val="7FFBC5C7"/>
    <w:rsid w:val="7FFBD462"/>
    <w:rsid w:val="7FFBD8F3"/>
    <w:rsid w:val="7FFD776A"/>
    <w:rsid w:val="7FFD7ED8"/>
    <w:rsid w:val="7FFEAA90"/>
    <w:rsid w:val="7FFF19F3"/>
    <w:rsid w:val="7FFF2515"/>
    <w:rsid w:val="7FFF3FB8"/>
    <w:rsid w:val="7FFF8F40"/>
    <w:rsid w:val="7FFF94D1"/>
    <w:rsid w:val="7FFFECF9"/>
    <w:rsid w:val="82BFCB48"/>
    <w:rsid w:val="87EDA2A5"/>
    <w:rsid w:val="8954F3BF"/>
    <w:rsid w:val="8F67CAB8"/>
    <w:rsid w:val="8FDBAE57"/>
    <w:rsid w:val="94A9F701"/>
    <w:rsid w:val="94FF0B79"/>
    <w:rsid w:val="957FC98F"/>
    <w:rsid w:val="96F946DC"/>
    <w:rsid w:val="97BF9AF8"/>
    <w:rsid w:val="97FEA386"/>
    <w:rsid w:val="99BE4BFC"/>
    <w:rsid w:val="99FF2942"/>
    <w:rsid w:val="9AAD6B26"/>
    <w:rsid w:val="9AD70221"/>
    <w:rsid w:val="9BFFC38C"/>
    <w:rsid w:val="9D7A66C4"/>
    <w:rsid w:val="9DF7CD6A"/>
    <w:rsid w:val="9E5FD882"/>
    <w:rsid w:val="9EDF8635"/>
    <w:rsid w:val="9F7F11BB"/>
    <w:rsid w:val="9F7F9CDB"/>
    <w:rsid w:val="9FAD6064"/>
    <w:rsid w:val="9FBF069F"/>
    <w:rsid w:val="9FEF92D9"/>
    <w:rsid w:val="9FEF96D0"/>
    <w:rsid w:val="9FF3443D"/>
    <w:rsid w:val="9FF91E59"/>
    <w:rsid w:val="A3C71E7E"/>
    <w:rsid w:val="A6EEB11D"/>
    <w:rsid w:val="A96FE21A"/>
    <w:rsid w:val="AABF59FE"/>
    <w:rsid w:val="AB2FDE0A"/>
    <w:rsid w:val="ABBF9CCE"/>
    <w:rsid w:val="ABF35AA4"/>
    <w:rsid w:val="ACFE2DF8"/>
    <w:rsid w:val="AD5EE5B7"/>
    <w:rsid w:val="AEBC1028"/>
    <w:rsid w:val="AEF79822"/>
    <w:rsid w:val="AF1E912B"/>
    <w:rsid w:val="AF1F9A51"/>
    <w:rsid w:val="AFEEFDCE"/>
    <w:rsid w:val="AFFD3AC0"/>
    <w:rsid w:val="AFFF7016"/>
    <w:rsid w:val="AFFFDD99"/>
    <w:rsid w:val="B1ADADCF"/>
    <w:rsid w:val="B1EF4545"/>
    <w:rsid w:val="B2F7E021"/>
    <w:rsid w:val="B33F1262"/>
    <w:rsid w:val="B37F7DEA"/>
    <w:rsid w:val="B4B930C2"/>
    <w:rsid w:val="B59F27A0"/>
    <w:rsid w:val="B6FE17F7"/>
    <w:rsid w:val="B6FF1E4D"/>
    <w:rsid w:val="B72EF997"/>
    <w:rsid w:val="B72F2671"/>
    <w:rsid w:val="B73D4EB5"/>
    <w:rsid w:val="B757DA16"/>
    <w:rsid w:val="B77F4EFE"/>
    <w:rsid w:val="B7AFC612"/>
    <w:rsid w:val="B7FDA195"/>
    <w:rsid w:val="B8FBAA07"/>
    <w:rsid w:val="B9BD46AF"/>
    <w:rsid w:val="B9EEBE23"/>
    <w:rsid w:val="B9FF75CE"/>
    <w:rsid w:val="BA690E26"/>
    <w:rsid w:val="BAF753F8"/>
    <w:rsid w:val="BB3F085A"/>
    <w:rsid w:val="BB785ADB"/>
    <w:rsid w:val="BB953747"/>
    <w:rsid w:val="BB9E8A2C"/>
    <w:rsid w:val="BBBF7C6A"/>
    <w:rsid w:val="BBCDFDE4"/>
    <w:rsid w:val="BBDF461F"/>
    <w:rsid w:val="BBEA5CC9"/>
    <w:rsid w:val="BBF73637"/>
    <w:rsid w:val="BBF81484"/>
    <w:rsid w:val="BBFF69A8"/>
    <w:rsid w:val="BCCCA018"/>
    <w:rsid w:val="BDAFB55C"/>
    <w:rsid w:val="BDBD0213"/>
    <w:rsid w:val="BDBE9442"/>
    <w:rsid w:val="BDD2B9CD"/>
    <w:rsid w:val="BDEF3794"/>
    <w:rsid w:val="BDF64C1E"/>
    <w:rsid w:val="BDF782E5"/>
    <w:rsid w:val="BE7CEA7D"/>
    <w:rsid w:val="BE7FE4A3"/>
    <w:rsid w:val="BECDF404"/>
    <w:rsid w:val="BEFDC46D"/>
    <w:rsid w:val="BEFF0746"/>
    <w:rsid w:val="BF377E2C"/>
    <w:rsid w:val="BF763B3E"/>
    <w:rsid w:val="BF7AC7B7"/>
    <w:rsid w:val="BFB740BF"/>
    <w:rsid w:val="BFB9B380"/>
    <w:rsid w:val="BFBAD43F"/>
    <w:rsid w:val="BFBB46E5"/>
    <w:rsid w:val="BFBC7A36"/>
    <w:rsid w:val="BFBF6B71"/>
    <w:rsid w:val="BFCBBCCD"/>
    <w:rsid w:val="BFDF2116"/>
    <w:rsid w:val="BFE7858C"/>
    <w:rsid w:val="BFEA054E"/>
    <w:rsid w:val="BFED14A1"/>
    <w:rsid w:val="BFEDABC0"/>
    <w:rsid w:val="BFEDD584"/>
    <w:rsid w:val="BFEFBF4E"/>
    <w:rsid w:val="BFF70784"/>
    <w:rsid w:val="BFFBCD4F"/>
    <w:rsid w:val="BFFBD205"/>
    <w:rsid w:val="BFFD98E5"/>
    <w:rsid w:val="BFFF78D7"/>
    <w:rsid w:val="BFFF794D"/>
    <w:rsid w:val="BFFFEAED"/>
    <w:rsid w:val="C2BF9463"/>
    <w:rsid w:val="C3FDD74C"/>
    <w:rsid w:val="C4DFA620"/>
    <w:rsid w:val="C57B3155"/>
    <w:rsid w:val="C5EDC51D"/>
    <w:rsid w:val="C7AC9EF5"/>
    <w:rsid w:val="C7F7CCC4"/>
    <w:rsid w:val="C97E85AD"/>
    <w:rsid w:val="C9AD1D7E"/>
    <w:rsid w:val="CAF36C2C"/>
    <w:rsid w:val="CB5DD5A5"/>
    <w:rsid w:val="CBBEB58A"/>
    <w:rsid w:val="CBEE1160"/>
    <w:rsid w:val="CBFE5B31"/>
    <w:rsid w:val="CBFF3D24"/>
    <w:rsid w:val="CD3652E1"/>
    <w:rsid w:val="CED938F0"/>
    <w:rsid w:val="CEF7E916"/>
    <w:rsid w:val="CF6F9E39"/>
    <w:rsid w:val="CFEAAE46"/>
    <w:rsid w:val="CFFFE8FC"/>
    <w:rsid w:val="D3FD016E"/>
    <w:rsid w:val="D5E538FB"/>
    <w:rsid w:val="D5F7857E"/>
    <w:rsid w:val="D63F258C"/>
    <w:rsid w:val="D6776253"/>
    <w:rsid w:val="D6FD994E"/>
    <w:rsid w:val="D71C035B"/>
    <w:rsid w:val="D75D8E06"/>
    <w:rsid w:val="D7B33C19"/>
    <w:rsid w:val="D7DF64F9"/>
    <w:rsid w:val="D7DFFC25"/>
    <w:rsid w:val="D7F22A9B"/>
    <w:rsid w:val="D8F7E68A"/>
    <w:rsid w:val="D9CBEF0C"/>
    <w:rsid w:val="D9EB4081"/>
    <w:rsid w:val="D9F40EAE"/>
    <w:rsid w:val="DA5FAF2C"/>
    <w:rsid w:val="DABE5D6B"/>
    <w:rsid w:val="DAE30B0D"/>
    <w:rsid w:val="DAE3408C"/>
    <w:rsid w:val="DAEC4710"/>
    <w:rsid w:val="DAFD1C04"/>
    <w:rsid w:val="DB3DE6E3"/>
    <w:rsid w:val="DB78C2F6"/>
    <w:rsid w:val="DB7B8D35"/>
    <w:rsid w:val="DC3652CB"/>
    <w:rsid w:val="DCFF5AA5"/>
    <w:rsid w:val="DD5E8238"/>
    <w:rsid w:val="DDBF73D4"/>
    <w:rsid w:val="DDEB86DA"/>
    <w:rsid w:val="DDFD6673"/>
    <w:rsid w:val="DE9FC0C0"/>
    <w:rsid w:val="DEB90D11"/>
    <w:rsid w:val="DEE2F71E"/>
    <w:rsid w:val="DEE3425A"/>
    <w:rsid w:val="DEF7A59A"/>
    <w:rsid w:val="DEFB1DAA"/>
    <w:rsid w:val="DEFBBE04"/>
    <w:rsid w:val="DEFEFFA7"/>
    <w:rsid w:val="DEFF6FB2"/>
    <w:rsid w:val="DF3E06F5"/>
    <w:rsid w:val="DF469A6E"/>
    <w:rsid w:val="DF65406A"/>
    <w:rsid w:val="DF74305B"/>
    <w:rsid w:val="DF76E416"/>
    <w:rsid w:val="DF7D9441"/>
    <w:rsid w:val="DF7F3852"/>
    <w:rsid w:val="DF90DAF9"/>
    <w:rsid w:val="DF9EAB45"/>
    <w:rsid w:val="DFBBA4B3"/>
    <w:rsid w:val="DFD79725"/>
    <w:rsid w:val="DFDA46C1"/>
    <w:rsid w:val="DFDA609D"/>
    <w:rsid w:val="DFDD1BAC"/>
    <w:rsid w:val="DFDFA6FF"/>
    <w:rsid w:val="DFE78181"/>
    <w:rsid w:val="DFECCABE"/>
    <w:rsid w:val="DFF67C81"/>
    <w:rsid w:val="DFF715AB"/>
    <w:rsid w:val="DFF72E7B"/>
    <w:rsid w:val="DFF73243"/>
    <w:rsid w:val="DFF78EB3"/>
    <w:rsid w:val="DFF7E4C2"/>
    <w:rsid w:val="DFFB24C4"/>
    <w:rsid w:val="DFFB4816"/>
    <w:rsid w:val="DFFCA8EF"/>
    <w:rsid w:val="DFFD023F"/>
    <w:rsid w:val="DFFE5550"/>
    <w:rsid w:val="DFFECCF4"/>
    <w:rsid w:val="DFFFD8B4"/>
    <w:rsid w:val="DFFFEA37"/>
    <w:rsid w:val="E3FDA847"/>
    <w:rsid w:val="E4DBD076"/>
    <w:rsid w:val="E65FF18D"/>
    <w:rsid w:val="E66F7A1C"/>
    <w:rsid w:val="E6E751B8"/>
    <w:rsid w:val="E6F4E7E3"/>
    <w:rsid w:val="E6F762E1"/>
    <w:rsid w:val="E6FD8D77"/>
    <w:rsid w:val="E70CF839"/>
    <w:rsid w:val="E70FCBEA"/>
    <w:rsid w:val="E7574C01"/>
    <w:rsid w:val="E75F69FB"/>
    <w:rsid w:val="E75F7A0A"/>
    <w:rsid w:val="E7E7196B"/>
    <w:rsid w:val="E7F67BC9"/>
    <w:rsid w:val="E7FF6BDD"/>
    <w:rsid w:val="E976C845"/>
    <w:rsid w:val="E9F7B71C"/>
    <w:rsid w:val="E9FBA36C"/>
    <w:rsid w:val="EAD72CB2"/>
    <w:rsid w:val="EAD92E7A"/>
    <w:rsid w:val="EADFD298"/>
    <w:rsid w:val="EAFB7677"/>
    <w:rsid w:val="EB0F4691"/>
    <w:rsid w:val="EBB146D4"/>
    <w:rsid w:val="EBDA85D0"/>
    <w:rsid w:val="EBDFFB19"/>
    <w:rsid w:val="EBF7BD56"/>
    <w:rsid w:val="EBFB7F9B"/>
    <w:rsid w:val="EC37B84B"/>
    <w:rsid w:val="EC934100"/>
    <w:rsid w:val="ECDF2843"/>
    <w:rsid w:val="ED1FE854"/>
    <w:rsid w:val="EDE0F505"/>
    <w:rsid w:val="EDEC356B"/>
    <w:rsid w:val="EDFD50F2"/>
    <w:rsid w:val="EDFD64A4"/>
    <w:rsid w:val="EDFDC927"/>
    <w:rsid w:val="EDFE4148"/>
    <w:rsid w:val="EDFF06A2"/>
    <w:rsid w:val="EEBFF503"/>
    <w:rsid w:val="EEDE34BE"/>
    <w:rsid w:val="EEE60539"/>
    <w:rsid w:val="EEF79B8B"/>
    <w:rsid w:val="EEFDE130"/>
    <w:rsid w:val="EEFF640B"/>
    <w:rsid w:val="EEFF9066"/>
    <w:rsid w:val="EEFFFDEF"/>
    <w:rsid w:val="EF2F124A"/>
    <w:rsid w:val="EF5F6C31"/>
    <w:rsid w:val="EF6783AB"/>
    <w:rsid w:val="EF6BD1D7"/>
    <w:rsid w:val="EF9EB560"/>
    <w:rsid w:val="EFAE4A44"/>
    <w:rsid w:val="EFAFF471"/>
    <w:rsid w:val="EFBB17D7"/>
    <w:rsid w:val="EFBB9449"/>
    <w:rsid w:val="EFBDA727"/>
    <w:rsid w:val="EFD9B329"/>
    <w:rsid w:val="EFDAD61D"/>
    <w:rsid w:val="EFDDE1BA"/>
    <w:rsid w:val="EFDF2530"/>
    <w:rsid w:val="EFED6D78"/>
    <w:rsid w:val="EFEF52F7"/>
    <w:rsid w:val="EFF16146"/>
    <w:rsid w:val="EFF7B12B"/>
    <w:rsid w:val="EFFE4962"/>
    <w:rsid w:val="F1C6AEB2"/>
    <w:rsid w:val="F37F7220"/>
    <w:rsid w:val="F38BE6E6"/>
    <w:rsid w:val="F3AE4594"/>
    <w:rsid w:val="F3F74A0B"/>
    <w:rsid w:val="F3FCC062"/>
    <w:rsid w:val="F3FFA06A"/>
    <w:rsid w:val="F4BBD798"/>
    <w:rsid w:val="F4CB97CD"/>
    <w:rsid w:val="F4CDC73C"/>
    <w:rsid w:val="F4CE5551"/>
    <w:rsid w:val="F507AD18"/>
    <w:rsid w:val="F525E160"/>
    <w:rsid w:val="F5FA0406"/>
    <w:rsid w:val="F5FF86EA"/>
    <w:rsid w:val="F63F430A"/>
    <w:rsid w:val="F67B931D"/>
    <w:rsid w:val="F6DF34ED"/>
    <w:rsid w:val="F6FF2FEE"/>
    <w:rsid w:val="F717EFBC"/>
    <w:rsid w:val="F75C898F"/>
    <w:rsid w:val="F75F7413"/>
    <w:rsid w:val="F773E742"/>
    <w:rsid w:val="F777B4CA"/>
    <w:rsid w:val="F77F3C9B"/>
    <w:rsid w:val="F7A7A54A"/>
    <w:rsid w:val="F7ABDA5E"/>
    <w:rsid w:val="F7ABFC3C"/>
    <w:rsid w:val="F7BC8A63"/>
    <w:rsid w:val="F7BEF436"/>
    <w:rsid w:val="F7D2A7B4"/>
    <w:rsid w:val="F7D74ABE"/>
    <w:rsid w:val="F7DB194C"/>
    <w:rsid w:val="F7DF2707"/>
    <w:rsid w:val="F7DF3D52"/>
    <w:rsid w:val="F7DFE91A"/>
    <w:rsid w:val="F7EE549D"/>
    <w:rsid w:val="F7EF02D8"/>
    <w:rsid w:val="F7F666C9"/>
    <w:rsid w:val="F7F7F0F5"/>
    <w:rsid w:val="F7FAFBB9"/>
    <w:rsid w:val="F7FD6810"/>
    <w:rsid w:val="F7FE59CE"/>
    <w:rsid w:val="F7FF0BCF"/>
    <w:rsid w:val="F7FF5AD6"/>
    <w:rsid w:val="F8B86052"/>
    <w:rsid w:val="F8FBDD02"/>
    <w:rsid w:val="F9736D63"/>
    <w:rsid w:val="F98FB736"/>
    <w:rsid w:val="F9C7A550"/>
    <w:rsid w:val="F9DF3006"/>
    <w:rsid w:val="F9EAEDA6"/>
    <w:rsid w:val="F9EF8EE3"/>
    <w:rsid w:val="F9F431B0"/>
    <w:rsid w:val="F9FFEB26"/>
    <w:rsid w:val="FA1D14E1"/>
    <w:rsid w:val="FA3E2227"/>
    <w:rsid w:val="FA7BD5F6"/>
    <w:rsid w:val="FAB6AF86"/>
    <w:rsid w:val="FAD71EFA"/>
    <w:rsid w:val="FAF70B65"/>
    <w:rsid w:val="FAFEBCFB"/>
    <w:rsid w:val="FAFFE9EC"/>
    <w:rsid w:val="FAFFF43E"/>
    <w:rsid w:val="FB3F36BC"/>
    <w:rsid w:val="FB5764A0"/>
    <w:rsid w:val="FB5BDC79"/>
    <w:rsid w:val="FB5F1951"/>
    <w:rsid w:val="FB6C837F"/>
    <w:rsid w:val="FB6FEDFF"/>
    <w:rsid w:val="FB7B88BB"/>
    <w:rsid w:val="FB97148D"/>
    <w:rsid w:val="FBA25D84"/>
    <w:rsid w:val="FBA94D1A"/>
    <w:rsid w:val="FBBE0D11"/>
    <w:rsid w:val="FBD1782D"/>
    <w:rsid w:val="FBE7D4F8"/>
    <w:rsid w:val="FBEB22C8"/>
    <w:rsid w:val="FBF574B9"/>
    <w:rsid w:val="FBF58573"/>
    <w:rsid w:val="FBFFDF97"/>
    <w:rsid w:val="FC3B6410"/>
    <w:rsid w:val="FC3FB13A"/>
    <w:rsid w:val="FC5DAA71"/>
    <w:rsid w:val="FCB7EC73"/>
    <w:rsid w:val="FCCE915A"/>
    <w:rsid w:val="FCED5DA3"/>
    <w:rsid w:val="FCEF0853"/>
    <w:rsid w:val="FCF55041"/>
    <w:rsid w:val="FCFF48FF"/>
    <w:rsid w:val="FD6E15A7"/>
    <w:rsid w:val="FD7A33D2"/>
    <w:rsid w:val="FD7A7532"/>
    <w:rsid w:val="FD7B2B34"/>
    <w:rsid w:val="FD9F67BB"/>
    <w:rsid w:val="FDAF51DF"/>
    <w:rsid w:val="FDBB29DA"/>
    <w:rsid w:val="FDBCDA3D"/>
    <w:rsid w:val="FDBD663D"/>
    <w:rsid w:val="FDDE2392"/>
    <w:rsid w:val="FDEF2ED6"/>
    <w:rsid w:val="FDF524E1"/>
    <w:rsid w:val="FDFBE9EE"/>
    <w:rsid w:val="FDFE4A71"/>
    <w:rsid w:val="FDFF07D4"/>
    <w:rsid w:val="FDFF12B7"/>
    <w:rsid w:val="FDFFD545"/>
    <w:rsid w:val="FE3FEB85"/>
    <w:rsid w:val="FE51E354"/>
    <w:rsid w:val="FE5DBB26"/>
    <w:rsid w:val="FE639C71"/>
    <w:rsid w:val="FE7791C9"/>
    <w:rsid w:val="FE9F2099"/>
    <w:rsid w:val="FEAB9EA6"/>
    <w:rsid w:val="FEADA145"/>
    <w:rsid w:val="FED9E171"/>
    <w:rsid w:val="FEDEBBE1"/>
    <w:rsid w:val="FEDF2AB1"/>
    <w:rsid w:val="FEEAACA5"/>
    <w:rsid w:val="FEEEA581"/>
    <w:rsid w:val="FEF44547"/>
    <w:rsid w:val="FEF724C6"/>
    <w:rsid w:val="FEF8A0CA"/>
    <w:rsid w:val="FEF9F484"/>
    <w:rsid w:val="FEFB0B54"/>
    <w:rsid w:val="FEFDF354"/>
    <w:rsid w:val="FEFF0478"/>
    <w:rsid w:val="FEFF5C73"/>
    <w:rsid w:val="FF2747ED"/>
    <w:rsid w:val="FF27D97E"/>
    <w:rsid w:val="FF3432A7"/>
    <w:rsid w:val="FF3F93DF"/>
    <w:rsid w:val="FF57D2C5"/>
    <w:rsid w:val="FF5FBC28"/>
    <w:rsid w:val="FF6E9C2A"/>
    <w:rsid w:val="FF7335E3"/>
    <w:rsid w:val="FF76C813"/>
    <w:rsid w:val="FF799CE4"/>
    <w:rsid w:val="FF7B7776"/>
    <w:rsid w:val="FF7C2EEB"/>
    <w:rsid w:val="FF7C85E9"/>
    <w:rsid w:val="FF7F5C63"/>
    <w:rsid w:val="FF7FB670"/>
    <w:rsid w:val="FF7FC20D"/>
    <w:rsid w:val="FF9DE49D"/>
    <w:rsid w:val="FF9F0F6B"/>
    <w:rsid w:val="FF9F2CFA"/>
    <w:rsid w:val="FF9FDF23"/>
    <w:rsid w:val="FFAD42B0"/>
    <w:rsid w:val="FFB6891B"/>
    <w:rsid w:val="FFB71312"/>
    <w:rsid w:val="FFB7B371"/>
    <w:rsid w:val="FFBB0B07"/>
    <w:rsid w:val="FFBDA332"/>
    <w:rsid w:val="FFBDF994"/>
    <w:rsid w:val="FFBE9E81"/>
    <w:rsid w:val="FFBFE21D"/>
    <w:rsid w:val="FFCBAD2E"/>
    <w:rsid w:val="FFD5748F"/>
    <w:rsid w:val="FFD7B113"/>
    <w:rsid w:val="FFDADA57"/>
    <w:rsid w:val="FFDD7C6D"/>
    <w:rsid w:val="FFDF24D1"/>
    <w:rsid w:val="FFDFDCAF"/>
    <w:rsid w:val="FFE6985B"/>
    <w:rsid w:val="FFE9F7BD"/>
    <w:rsid w:val="FFEF02BF"/>
    <w:rsid w:val="FFEF301D"/>
    <w:rsid w:val="FFEF8679"/>
    <w:rsid w:val="FFF36912"/>
    <w:rsid w:val="FFF3C84D"/>
    <w:rsid w:val="FFF50E28"/>
    <w:rsid w:val="FFF64EB0"/>
    <w:rsid w:val="FFF7CB94"/>
    <w:rsid w:val="FFF97CC3"/>
    <w:rsid w:val="FFFAE1EF"/>
    <w:rsid w:val="FFFB7B5C"/>
    <w:rsid w:val="FFFBBE13"/>
    <w:rsid w:val="FFFBED26"/>
    <w:rsid w:val="FFFD2710"/>
    <w:rsid w:val="FFFD9A93"/>
    <w:rsid w:val="FFFE1A9A"/>
    <w:rsid w:val="FFFE9916"/>
    <w:rsid w:val="FFFF3E74"/>
    <w:rsid w:val="FFFF3EEE"/>
    <w:rsid w:val="FFFF5676"/>
    <w:rsid w:val="FFFF93F1"/>
    <w:rsid w:val="FFFF988D"/>
    <w:rsid w:val="FFFF98BC"/>
    <w:rsid w:val="FFFFAECF"/>
    <w:rsid w:val="FFFFBCB4"/>
    <w:rsid w:val="FFFFDC47"/>
    <w:rsid w:val="FFFFFA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772</Words>
  <Characters>775</Characters>
  <Lines>0</Lines>
  <Paragraphs>0</Paragraphs>
  <TotalTime>14</TotalTime>
  <ScaleCrop>false</ScaleCrop>
  <LinksUpToDate>false</LinksUpToDate>
  <CharactersWithSpaces>782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2023-12-27T02:47:00Z</dcterms:created>
  <dc:creator>greatwall</dc:creator>
  <cp:lastModifiedBy>1213350559</cp:lastModifiedBy>
  <dcterms:modified xsi:type="dcterms:W3CDTF">2026-04-22T01:42:42Z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2CE24D5F93904F418F68DEEA94D8932D_13</vt:lpwstr>
  </property>
  <property fmtid="{D5CDD505-2E9C-101B-9397-08002B2CF9AE}" pid="4" name="KSOTemplateDocerSaveRecord">
    <vt:lpwstr>eyJoZGlkIjoiNjJlMjY1MjU4YjA0ZWY3MTg4MTc0ZGMyYWU0MTVjZjgiLCJ1c2VySWQiOiI0MTU5NTY2MzMifQ==</vt:lpwstr>
  </property>
</Properties>
</file>