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34867">
      <w:pPr>
        <w:pStyle w:val="2"/>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default" w:ascii="Times New Roman" w:hAnsi="Times New Roman" w:eastAsia="仿宋_GB2312" w:cs="Times New Roman"/>
          <w:kern w:val="2"/>
          <w:sz w:val="32"/>
          <w:szCs w:val="32"/>
          <w:lang w:val="en-US" w:eastAsia="zh-CN" w:bidi="ar-SA"/>
        </w:rPr>
      </w:pPr>
      <w:bookmarkStart w:id="0" w:name="_GoBack"/>
      <w:bookmarkEnd w:id="0"/>
      <w:r>
        <w:rPr>
          <w:rFonts w:hint="eastAsia" w:ascii="Times New Roman" w:hAnsi="Times New Roman" w:eastAsia="仿宋_GB2312" w:cs="Times New Roman"/>
          <w:kern w:val="2"/>
          <w:sz w:val="32"/>
          <w:szCs w:val="32"/>
          <w:lang w:val="en-US" w:eastAsia="zh-CN" w:bidi="ar-SA"/>
        </w:rPr>
        <w:t>附件1</w:t>
      </w:r>
    </w:p>
    <w:p w14:paraId="359C9CE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eastAsia="方正小标宋简体" w:cs="方正小标宋简体"/>
          <w:spacing w:val="0"/>
          <w:sz w:val="44"/>
          <w:szCs w:val="44"/>
        </w:rPr>
      </w:pPr>
    </w:p>
    <w:p w14:paraId="1390DDB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eastAsia="方正小标宋简体" w:cs="方正小标宋简体"/>
          <w:spacing w:val="0"/>
          <w:sz w:val="44"/>
          <w:szCs w:val="44"/>
          <w:lang w:val="en-US" w:eastAsia="zh-CN"/>
        </w:rPr>
      </w:pPr>
      <w:r>
        <w:rPr>
          <w:rFonts w:hint="eastAsia" w:ascii="方正小标宋简体" w:eastAsia="方正小标宋简体" w:cs="方正小标宋简体"/>
          <w:spacing w:val="0"/>
          <w:sz w:val="44"/>
          <w:szCs w:val="44"/>
        </w:rPr>
        <w:t>关于《</w:t>
      </w:r>
      <w:r>
        <w:rPr>
          <w:rFonts w:hint="eastAsia" w:ascii="方正小标宋简体" w:eastAsia="方正小标宋简体" w:cs="方正小标宋简体"/>
          <w:spacing w:val="0"/>
          <w:sz w:val="44"/>
          <w:szCs w:val="44"/>
          <w:lang w:val="en-US" w:eastAsia="zh-CN"/>
        </w:rPr>
        <w:t>广东省优质中小企业梯度培育管理</w:t>
      </w:r>
    </w:p>
    <w:p w14:paraId="40E6C92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eastAsia="方正小标宋简体" w:cs="方正小标宋简体"/>
          <w:spacing w:val="0"/>
          <w:sz w:val="44"/>
          <w:szCs w:val="44"/>
          <w:lang w:val="en-US" w:eastAsia="zh-CN"/>
        </w:rPr>
        <w:t>实施细则（修订稿）</w:t>
      </w:r>
      <w:r>
        <w:rPr>
          <w:rFonts w:hint="eastAsia" w:ascii="方正小标宋简体" w:eastAsia="方正小标宋简体" w:cs="方正小标宋简体"/>
          <w:spacing w:val="0"/>
          <w:sz w:val="44"/>
          <w:szCs w:val="44"/>
          <w:lang w:eastAsia="zh-CN"/>
        </w:rPr>
        <w:t>》的修订说明</w:t>
      </w:r>
    </w:p>
    <w:p w14:paraId="1CF61A7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sz w:val="32"/>
          <w:szCs w:val="32"/>
          <w:lang w:val="en-US" w:eastAsia="zh-CN"/>
        </w:rPr>
      </w:pPr>
    </w:p>
    <w:p w14:paraId="1F39374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一、修订背景和原则</w:t>
      </w:r>
    </w:p>
    <w:p w14:paraId="2613F2F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2026年1月4日，工业和信息化部发布了新修订的《优质中小企业梯度培育管理办法》（</w:t>
      </w:r>
      <w:r>
        <w:rPr>
          <w:rFonts w:hint="eastAsia" w:ascii="仿宋_GB2312" w:hAnsi="仿宋_GB2312" w:eastAsia="仿宋_GB2312" w:cs="仿宋_GB2312"/>
          <w:color w:val="000000"/>
          <w:spacing w:val="0"/>
          <w:kern w:val="0"/>
          <w:sz w:val="32"/>
          <w:szCs w:val="32"/>
          <w:lang w:val="en-US" w:eastAsia="zh-CN" w:bidi="ar"/>
        </w:rPr>
        <w:t>工信部企业</w:t>
      </w:r>
      <w:r>
        <w:rPr>
          <w:rFonts w:hint="eastAsia" w:ascii="仿宋_GB2312" w:hAnsi="仿宋_GB2312" w:eastAsia="仿宋_GB2312" w:cs="仿宋_GB2312"/>
          <w:color w:val="000000"/>
          <w:spacing w:val="0"/>
          <w:kern w:val="2"/>
          <w:sz w:val="32"/>
          <w:szCs w:val="32"/>
          <w:lang w:val="en-US" w:eastAsia="zh-CN" w:bidi="ar"/>
        </w:rPr>
        <w:t>〔</w:t>
      </w:r>
      <w:r>
        <w:rPr>
          <w:rFonts w:hint="eastAsia" w:ascii="Times New Roman" w:hAnsi="Times New Roman" w:eastAsia="仿宋" w:cs="Times New Roman"/>
          <w:color w:val="000000"/>
          <w:spacing w:val="0"/>
          <w:kern w:val="2"/>
          <w:sz w:val="32"/>
          <w:szCs w:val="32"/>
          <w:lang w:val="en-US" w:eastAsia="zh-CN" w:bidi="ar"/>
        </w:rPr>
        <w:t>2026</w:t>
      </w:r>
      <w:r>
        <w:rPr>
          <w:rFonts w:hint="eastAsia" w:ascii="仿宋_GB2312" w:hAnsi="仿宋_GB2312" w:eastAsia="仿宋_GB2312" w:cs="仿宋_GB2312"/>
          <w:color w:val="000000"/>
          <w:spacing w:val="0"/>
          <w:kern w:val="2"/>
          <w:sz w:val="32"/>
          <w:szCs w:val="32"/>
          <w:lang w:val="en-US" w:eastAsia="zh-CN" w:bidi="ar"/>
        </w:rPr>
        <w:t>〕</w:t>
      </w:r>
      <w:r>
        <w:rPr>
          <w:rFonts w:hint="eastAsia" w:ascii="Times New Roman" w:hAnsi="Times New Roman" w:eastAsia="仿宋" w:cs="Times New Roman"/>
          <w:color w:val="000000"/>
          <w:spacing w:val="0"/>
          <w:kern w:val="2"/>
          <w:sz w:val="32"/>
          <w:szCs w:val="32"/>
          <w:lang w:val="en-US" w:eastAsia="zh-CN" w:bidi="ar"/>
        </w:rPr>
        <w:t>2</w:t>
      </w:r>
      <w:r>
        <w:rPr>
          <w:rFonts w:hint="eastAsia" w:ascii="仿宋_GB2312" w:hAnsi="仿宋_GB2312" w:eastAsia="仿宋_GB2312" w:cs="仿宋_GB2312"/>
          <w:color w:val="000000"/>
          <w:spacing w:val="0"/>
          <w:kern w:val="0"/>
          <w:sz w:val="32"/>
          <w:szCs w:val="32"/>
          <w:lang w:val="en-US" w:eastAsia="zh-CN" w:bidi="ar"/>
        </w:rPr>
        <w:t>号，以下简称《办法》</w:t>
      </w:r>
      <w:r>
        <w:rPr>
          <w:rFonts w:hint="eastAsia" w:ascii="Times New Roman" w:hAnsi="Times New Roman" w:eastAsia="仿宋_GB2312" w:cs="Times New Roman"/>
          <w:kern w:val="2"/>
          <w:sz w:val="32"/>
          <w:szCs w:val="32"/>
          <w:lang w:val="en-US" w:eastAsia="zh-CN" w:bidi="ar-SA"/>
        </w:rPr>
        <w:t>），共分5章32条，包含了优质中小企业梯队构成、认定标准和程序、动态管理和培育服务等内容，同时，还随《办法》发布了新版专精特新中小企业和专精特新</w:t>
      </w:r>
      <w:r>
        <w:rPr>
          <w:rFonts w:hint="default" w:ascii="Times New Roman" w:hAnsi="Times New Roman" w:eastAsia="仿宋_GB2312" w:cs="Times New Roman"/>
          <w:b w:val="0"/>
          <w:bCs w:val="0"/>
          <w:kern w:val="2"/>
          <w:sz w:val="32"/>
          <w:szCs w:val="32"/>
          <w:lang w:val="en-US" w:eastAsia="zh-CN" w:bidi="ar-SA"/>
        </w:rPr>
        <w:t>“</w:t>
      </w:r>
      <w:r>
        <w:rPr>
          <w:rFonts w:hint="eastAsia" w:ascii="Times New Roman" w:hAnsi="Times New Roman" w:eastAsia="仿宋_GB2312" w:cs="仿宋_GB2312"/>
          <w:b w:val="0"/>
          <w:bCs w:val="0"/>
          <w:kern w:val="2"/>
          <w:sz w:val="32"/>
          <w:szCs w:val="32"/>
          <w:lang w:val="en-US" w:eastAsia="zh-CN" w:bidi="ar-SA"/>
        </w:rPr>
        <w:t>小巨人</w:t>
      </w:r>
      <w:r>
        <w:rPr>
          <w:rFonts w:hint="default" w:ascii="Times New Roman" w:hAnsi="Times New Roman" w:eastAsia="仿宋_GB2312" w:cs="Times New Roman"/>
          <w:b w:val="0"/>
          <w:bCs w:val="0"/>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企业认定标准。</w:t>
      </w:r>
    </w:p>
    <w:p w14:paraId="2538367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我省高度重视</w:t>
      </w:r>
      <w:r>
        <w:rPr>
          <w:rFonts w:hint="eastAsia" w:ascii="Times New Roman" w:hAnsi="Times New Roman" w:eastAsia="仿宋_GB2312" w:cs="Times New Roman"/>
          <w:kern w:val="2"/>
          <w:sz w:val="32"/>
          <w:szCs w:val="32"/>
          <w:lang w:val="en-US" w:eastAsia="zh-CN" w:bidi="ar-SA"/>
        </w:rPr>
        <w:t>优质中小企业梯度培育工作</w:t>
      </w:r>
      <w:r>
        <w:rPr>
          <w:rFonts w:hint="eastAsia" w:ascii="Times New Roman" w:hAnsi="Times New Roman" w:eastAsia="仿宋_GB2312" w:cs="Times New Roman"/>
          <w:sz w:val="32"/>
          <w:szCs w:val="32"/>
          <w:lang w:val="en-US" w:eastAsia="zh-CN"/>
        </w:rPr>
        <w:t>，持续加大</w:t>
      </w:r>
      <w:r>
        <w:rPr>
          <w:rFonts w:hint="default" w:ascii="Times New Roman" w:hAnsi="Times New Roman" w:eastAsia="仿宋_GB2312" w:cs="Times New Roman"/>
          <w:sz w:val="32"/>
          <w:szCs w:val="32"/>
          <w:lang w:val="en-US" w:eastAsia="zh-CN"/>
        </w:rPr>
        <w:t>培育</w:t>
      </w:r>
      <w:r>
        <w:rPr>
          <w:rFonts w:hint="eastAsia" w:ascii="Times New Roman" w:hAnsi="Times New Roman" w:eastAsia="仿宋_GB2312" w:cs="Times New Roman"/>
          <w:sz w:val="32"/>
          <w:szCs w:val="32"/>
          <w:lang w:val="en-US" w:eastAsia="zh-CN"/>
        </w:rPr>
        <w:t>力度，取得了显著成效，截至</w:t>
      </w:r>
      <w:r>
        <w:rPr>
          <w:rFonts w:hint="eastAsia" w:ascii="Times New Roman" w:hAnsi="Times New Roman" w:eastAsia="仿宋_GB2312" w:cs="Times New Roman"/>
          <w:kern w:val="2"/>
          <w:sz w:val="32"/>
          <w:szCs w:val="32"/>
          <w:lang w:val="en-US" w:eastAsia="zh-CN" w:bidi="ar-SA"/>
        </w:rPr>
        <w:t>2025</w:t>
      </w:r>
      <w:r>
        <w:rPr>
          <w:rFonts w:hint="eastAsia" w:ascii="Times New Roman" w:hAnsi="Times New Roman" w:eastAsia="仿宋_GB2312" w:cs="Times New Roman"/>
          <w:sz w:val="32"/>
          <w:szCs w:val="32"/>
          <w:lang w:val="en-US" w:eastAsia="zh-CN"/>
        </w:rPr>
        <w:t>年底，</w:t>
      </w:r>
      <w:r>
        <w:rPr>
          <w:rFonts w:hint="eastAsia" w:ascii="Times New Roman" w:hAnsi="Times New Roman" w:eastAsia="仿宋_GB2312" w:cs="仿宋_GB2312"/>
          <w:sz w:val="32"/>
          <w:szCs w:val="32"/>
          <w:lang w:eastAsia="zh-CN"/>
        </w:rPr>
        <w:t>已累计</w:t>
      </w:r>
      <w:r>
        <w:rPr>
          <w:rFonts w:hint="eastAsia" w:ascii="Times New Roman" w:hAnsi="Times New Roman" w:eastAsia="仿宋_GB2312" w:cs="仿宋_GB2312"/>
          <w:b w:val="0"/>
          <w:bCs w:val="0"/>
          <w:kern w:val="2"/>
          <w:sz w:val="32"/>
          <w:szCs w:val="32"/>
          <w:lang w:val="en-US" w:eastAsia="zh-CN" w:bidi="ar-SA"/>
        </w:rPr>
        <w:t>培育创新型中小企业</w:t>
      </w:r>
      <w:r>
        <w:rPr>
          <w:rFonts w:hint="eastAsia" w:ascii="Times New Roman" w:hAnsi="Times New Roman" w:eastAsia="仿宋_GB2312" w:cs="Times New Roman"/>
          <w:kern w:val="2"/>
          <w:sz w:val="32"/>
          <w:szCs w:val="32"/>
          <w:lang w:val="en-US" w:eastAsia="zh-CN" w:bidi="ar-SA"/>
        </w:rPr>
        <w:t>超5万</w:t>
      </w:r>
      <w:r>
        <w:rPr>
          <w:rFonts w:hint="eastAsia" w:ascii="Times New Roman" w:hAnsi="Times New Roman" w:eastAsia="仿宋_GB2312" w:cs="仿宋_GB2312"/>
          <w:b w:val="0"/>
          <w:bCs w:val="0"/>
          <w:kern w:val="2"/>
          <w:sz w:val="32"/>
          <w:szCs w:val="32"/>
          <w:lang w:val="en-US" w:eastAsia="zh-CN" w:bidi="ar-SA"/>
        </w:rPr>
        <w:t>家、专精特新中小企业</w:t>
      </w:r>
      <w:r>
        <w:rPr>
          <w:rFonts w:hint="eastAsia" w:ascii="Times New Roman" w:hAnsi="Times New Roman" w:eastAsia="仿宋_GB2312" w:cs="Times New Roman"/>
          <w:kern w:val="2"/>
          <w:sz w:val="32"/>
          <w:szCs w:val="32"/>
          <w:lang w:val="en-US" w:eastAsia="zh-CN" w:bidi="ar-SA"/>
        </w:rPr>
        <w:t>超3万</w:t>
      </w:r>
      <w:r>
        <w:rPr>
          <w:rFonts w:hint="eastAsia" w:ascii="Times New Roman" w:hAnsi="Times New Roman" w:eastAsia="仿宋_GB2312" w:cs="仿宋_GB2312"/>
          <w:b w:val="0"/>
          <w:bCs w:val="0"/>
          <w:kern w:val="2"/>
          <w:sz w:val="32"/>
          <w:szCs w:val="32"/>
          <w:lang w:val="en-US" w:eastAsia="zh-CN" w:bidi="ar-SA"/>
        </w:rPr>
        <w:t>家和专精特新</w:t>
      </w:r>
      <w:r>
        <w:rPr>
          <w:rFonts w:hint="default" w:ascii="Times New Roman" w:hAnsi="Times New Roman" w:eastAsia="仿宋_GB2312" w:cs="Times New Roman"/>
          <w:b w:val="0"/>
          <w:bCs w:val="0"/>
          <w:kern w:val="2"/>
          <w:sz w:val="32"/>
          <w:szCs w:val="32"/>
          <w:lang w:val="en-US" w:eastAsia="zh-CN" w:bidi="ar-SA"/>
        </w:rPr>
        <w:t>“</w:t>
      </w:r>
      <w:r>
        <w:rPr>
          <w:rFonts w:hint="eastAsia" w:ascii="Times New Roman" w:hAnsi="Times New Roman" w:eastAsia="仿宋_GB2312" w:cs="仿宋_GB2312"/>
          <w:b w:val="0"/>
          <w:bCs w:val="0"/>
          <w:kern w:val="2"/>
          <w:sz w:val="32"/>
          <w:szCs w:val="32"/>
          <w:lang w:val="en-US" w:eastAsia="zh-CN" w:bidi="ar-SA"/>
        </w:rPr>
        <w:t>小巨人</w:t>
      </w:r>
      <w:r>
        <w:rPr>
          <w:rFonts w:hint="default" w:ascii="Times New Roman" w:hAnsi="Times New Roman" w:eastAsia="仿宋_GB2312" w:cs="Times New Roman"/>
          <w:b w:val="0"/>
          <w:bCs w:val="0"/>
          <w:kern w:val="2"/>
          <w:sz w:val="32"/>
          <w:szCs w:val="32"/>
          <w:lang w:val="en-US" w:eastAsia="zh-CN" w:bidi="ar-SA"/>
        </w:rPr>
        <w:t>”</w:t>
      </w:r>
      <w:r>
        <w:rPr>
          <w:rFonts w:hint="eastAsia" w:ascii="Times New Roman" w:hAnsi="Times New Roman" w:eastAsia="仿宋_GB2312" w:cs="仿宋_GB2312"/>
          <w:b w:val="0"/>
          <w:bCs w:val="0"/>
          <w:kern w:val="2"/>
          <w:sz w:val="32"/>
          <w:szCs w:val="32"/>
          <w:lang w:val="en-US" w:eastAsia="zh-CN" w:bidi="ar-SA"/>
        </w:rPr>
        <w:t>企业</w:t>
      </w:r>
      <w:r>
        <w:rPr>
          <w:rFonts w:hint="eastAsia" w:ascii="Times New Roman" w:hAnsi="Times New Roman" w:eastAsia="仿宋_GB2312" w:cs="Times New Roman"/>
          <w:kern w:val="2"/>
          <w:sz w:val="32"/>
          <w:szCs w:val="32"/>
          <w:lang w:val="en-US" w:eastAsia="zh-CN" w:bidi="ar-SA"/>
        </w:rPr>
        <w:t>超2700</w:t>
      </w:r>
      <w:r>
        <w:rPr>
          <w:rFonts w:hint="eastAsia" w:ascii="Times New Roman" w:hAnsi="Times New Roman" w:eastAsia="仿宋_GB2312" w:cs="仿宋_GB2312"/>
          <w:b w:val="0"/>
          <w:bCs w:val="0"/>
          <w:kern w:val="2"/>
          <w:sz w:val="32"/>
          <w:szCs w:val="32"/>
          <w:lang w:val="en-US" w:eastAsia="zh-CN" w:bidi="ar-SA"/>
        </w:rPr>
        <w:t>家，</w:t>
      </w:r>
      <w:r>
        <w:rPr>
          <w:rFonts w:hint="eastAsia" w:ascii="Times New Roman" w:hAnsi="Times New Roman" w:eastAsia="仿宋_GB2312" w:cs="Times New Roman"/>
          <w:sz w:val="32"/>
          <w:szCs w:val="32"/>
          <w:lang w:val="en-US" w:eastAsia="zh-CN"/>
        </w:rPr>
        <w:t>数量均居于全国前列，为落实我省制造业当家战略和现代化产业体系建设奠定了坚实</w:t>
      </w:r>
      <w:r>
        <w:rPr>
          <w:rFonts w:hint="default" w:ascii="Times New Roman" w:hAnsi="Times New Roman" w:eastAsia="仿宋_GB2312" w:cs="Times New Roman"/>
          <w:sz w:val="32"/>
          <w:szCs w:val="32"/>
          <w:lang w:val="en-US" w:eastAsia="zh-CN"/>
        </w:rPr>
        <w:t>基础。</w:t>
      </w:r>
      <w:r>
        <w:rPr>
          <w:rFonts w:hint="eastAsia" w:ascii="Times New Roman" w:hAnsi="Times New Roman" w:eastAsia="仿宋_GB2312" w:cs="Times New Roman"/>
          <w:sz w:val="32"/>
          <w:szCs w:val="32"/>
          <w:lang w:val="en-US" w:eastAsia="zh-CN"/>
        </w:rPr>
        <w:t>为全面贯彻落实工信部《</w:t>
      </w:r>
      <w:r>
        <w:rPr>
          <w:rFonts w:hint="eastAsia" w:ascii="Times New Roman" w:hAnsi="Times New Roman" w:eastAsia="仿宋_GB2312" w:cs="Times New Roman"/>
          <w:kern w:val="2"/>
          <w:sz w:val="32"/>
          <w:szCs w:val="32"/>
          <w:lang w:val="en-US" w:eastAsia="zh-CN" w:bidi="ar-SA"/>
        </w:rPr>
        <w:t>办法</w:t>
      </w:r>
      <w:r>
        <w:rPr>
          <w:rFonts w:hint="eastAsia" w:ascii="Times New Roman" w:hAnsi="Times New Roman" w:eastAsia="仿宋_GB2312" w:cs="Times New Roman"/>
          <w:sz w:val="32"/>
          <w:szCs w:val="32"/>
          <w:lang w:val="en-US" w:eastAsia="zh-CN"/>
        </w:rPr>
        <w:t>》，我厅对《广东省优质中小企业梯度培育管理实施细则》（粤工信规字</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2024</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5号）进行了修订，形成了《广东省优质中小企业梯度培育管理实施细则（修订稿）》（详见附件2）。本次修订工作，我们注重把握两个原则：</w:t>
      </w: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严格遵循《办法》相关规定，注重规范管理，确保我省企业培育工作准确贯彻落实工信部要求，与全国同频同步、精准对标；</w:t>
      </w:r>
      <w:r>
        <w:rPr>
          <w:rFonts w:hint="eastAsia" w:ascii="Times New Roman" w:hAnsi="Times New Roman" w:eastAsia="仿宋_GB2312" w:cs="Times New Roman"/>
          <w:b/>
          <w:bCs/>
          <w:sz w:val="32"/>
          <w:szCs w:val="32"/>
          <w:lang w:val="en-US" w:eastAsia="zh-CN"/>
        </w:rPr>
        <w:t>二是</w:t>
      </w:r>
      <w:r>
        <w:rPr>
          <w:rFonts w:hint="eastAsia" w:ascii="Times New Roman" w:hAnsi="Times New Roman" w:eastAsia="仿宋_GB2312" w:cs="Times New Roman"/>
          <w:sz w:val="32"/>
          <w:szCs w:val="32"/>
          <w:lang w:val="en-US" w:eastAsia="zh-CN"/>
        </w:rPr>
        <w:t>根据《办法》“坚持分层分类分级指导”要求，持续深化</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放管服</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改革，将专精特新中小企业审核、实地抽查和公示，在已经下放广州、佛山和东莞3市基础上，进一步下放给全部地级以上市中小企业主管部门，进一步调动地市</w:t>
      </w:r>
      <w:r>
        <w:rPr>
          <w:rFonts w:hint="eastAsia" w:ascii="Times New Roman" w:hAnsi="Times New Roman" w:eastAsia="仿宋_GB2312" w:cs="仿宋_GB2312"/>
          <w:sz w:val="32"/>
          <w:szCs w:val="32"/>
          <w:lang w:val="en-US" w:eastAsia="zh-CN"/>
        </w:rPr>
        <w:t>主观能动性</w:t>
      </w:r>
      <w:r>
        <w:rPr>
          <w:rFonts w:hint="eastAsia" w:ascii="Times New Roman" w:hAnsi="Times New Roman" w:eastAsia="仿宋_GB2312" w:cs="Times New Roman"/>
          <w:sz w:val="32"/>
          <w:szCs w:val="32"/>
          <w:lang w:val="en-US" w:eastAsia="zh-CN"/>
        </w:rPr>
        <w:t>，加大优质中小企业培育服务力度。</w:t>
      </w:r>
    </w:p>
    <w:p w14:paraId="518FFDE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eastAsia="仿宋_GB2312" w:cs="Times New Roman"/>
          <w:sz w:val="32"/>
          <w:szCs w:val="32"/>
          <w:lang w:val="en-US" w:eastAsia="zh-CN"/>
        </w:rPr>
      </w:pPr>
      <w:r>
        <w:rPr>
          <w:rFonts w:hint="eastAsia" w:ascii="黑体" w:hAnsi="黑体" w:eastAsia="黑体" w:cs="黑体"/>
          <w:sz w:val="32"/>
          <w:szCs w:val="32"/>
          <w:lang w:val="en-US" w:eastAsia="zh-CN"/>
        </w:rPr>
        <w:t>二、修订的主要内容</w:t>
      </w:r>
    </w:p>
    <w:p w14:paraId="3FA5980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（一）明确修订范围只涉及专精特新中小企业和专精特新</w:t>
      </w:r>
      <w:r>
        <w:rPr>
          <w:rFonts w:hint="default" w:ascii="Times New Roman" w:hAnsi="Times New Roman" w:eastAsia="楷体_GB2312" w:cs="Times New Roman"/>
          <w:sz w:val="32"/>
          <w:szCs w:val="32"/>
          <w:lang w:val="en-US" w:eastAsia="zh-CN"/>
        </w:rPr>
        <w:t>“</w:t>
      </w:r>
      <w:r>
        <w:rPr>
          <w:rFonts w:hint="eastAsia" w:ascii="楷体_GB2312" w:hAnsi="楷体_GB2312" w:eastAsia="楷体_GB2312" w:cs="楷体_GB2312"/>
          <w:sz w:val="32"/>
          <w:szCs w:val="32"/>
          <w:lang w:val="en-US" w:eastAsia="zh-CN"/>
        </w:rPr>
        <w:t>小巨人</w:t>
      </w:r>
      <w:r>
        <w:rPr>
          <w:rFonts w:hint="default" w:ascii="Times New Roman" w:hAnsi="Times New Roman" w:eastAsia="楷体_GB2312" w:cs="Times New Roman"/>
          <w:sz w:val="32"/>
          <w:szCs w:val="32"/>
          <w:lang w:val="en-US" w:eastAsia="zh-CN"/>
        </w:rPr>
        <w:t>”</w:t>
      </w:r>
      <w:r>
        <w:rPr>
          <w:rFonts w:hint="eastAsia" w:ascii="楷体_GB2312" w:hAnsi="楷体_GB2312" w:eastAsia="楷体_GB2312" w:cs="楷体_GB2312"/>
          <w:sz w:val="32"/>
          <w:szCs w:val="32"/>
          <w:lang w:val="en-US" w:eastAsia="zh-CN"/>
        </w:rPr>
        <w:t>企业相关条款和认定标准。</w:t>
      </w:r>
      <w:r>
        <w:rPr>
          <w:rFonts w:hint="eastAsia" w:ascii="Times New Roman" w:hAnsi="Times New Roman" w:eastAsia="仿宋_GB2312" w:cs="仿宋_GB2312"/>
          <w:sz w:val="32"/>
          <w:szCs w:val="32"/>
          <w:lang w:val="en-US" w:eastAsia="zh-CN"/>
        </w:rPr>
        <w:t>根据《办法》</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科技和创新型中小企业有关要求和标准，以工业和信息化部联合有关部门指定的文件为准。在相关文件发布前，科技和创新型中小企业涵盖有效期内科技型中小企业和创新型中小企业，相关工作继续按照原有标准、工作程序和职责分工开展</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，本次修订只涉及专精特新中小企业和专精特新</w:t>
      </w:r>
      <w:r>
        <w:rPr>
          <w:rFonts w:hint="default" w:ascii="Times New Roman" w:hAnsi="Times New Roman" w:eastAsia="仿宋_GB2312" w:cs="Times New Roman"/>
          <w:b w:val="0"/>
          <w:bCs w:val="0"/>
          <w:kern w:val="2"/>
          <w:sz w:val="32"/>
          <w:szCs w:val="32"/>
          <w:lang w:val="en-US" w:eastAsia="zh-CN" w:bidi="ar-SA"/>
        </w:rPr>
        <w:t>“</w:t>
      </w:r>
      <w:r>
        <w:rPr>
          <w:rFonts w:hint="eastAsia" w:ascii="Times New Roman" w:hAnsi="Times New Roman" w:eastAsia="仿宋_GB2312" w:cs="仿宋_GB2312"/>
          <w:b w:val="0"/>
          <w:bCs w:val="0"/>
          <w:kern w:val="2"/>
          <w:sz w:val="32"/>
          <w:szCs w:val="32"/>
          <w:lang w:val="en-US" w:eastAsia="zh-CN" w:bidi="ar-SA"/>
        </w:rPr>
        <w:t>小巨人</w:t>
      </w:r>
      <w:r>
        <w:rPr>
          <w:rFonts w:hint="default" w:ascii="Times New Roman" w:hAnsi="Times New Roman" w:eastAsia="仿宋_GB2312" w:cs="Times New Roman"/>
          <w:b w:val="0"/>
          <w:bCs w:val="0"/>
          <w:kern w:val="2"/>
          <w:sz w:val="32"/>
          <w:szCs w:val="32"/>
          <w:lang w:val="en-US" w:eastAsia="zh-CN" w:bidi="ar-SA"/>
        </w:rPr>
        <w:t>”</w:t>
      </w:r>
      <w:r>
        <w:rPr>
          <w:rFonts w:hint="eastAsia" w:ascii="Times New Roman" w:hAnsi="Times New Roman" w:eastAsia="仿宋_GB2312" w:cs="仿宋_GB2312"/>
          <w:sz w:val="32"/>
          <w:szCs w:val="32"/>
          <w:lang w:val="en-US" w:eastAsia="zh-CN"/>
        </w:rPr>
        <w:t>企业相关条款和认定标准，创新型中小企业相关工作继续按照原有标准、工作程序和职责分工开展。</w:t>
      </w:r>
    </w:p>
    <w:p w14:paraId="309D4DE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楷体" w:hAnsi="楷体" w:eastAsia="楷体" w:cs="楷体"/>
          <w:sz w:val="32"/>
          <w:szCs w:val="32"/>
          <w:lang w:val="en-US" w:eastAsia="zh-CN"/>
        </w:rPr>
      </w:pPr>
      <w:r>
        <w:rPr>
          <w:rFonts w:hint="eastAsia" w:ascii="楷体_GB2312" w:hAnsi="楷体_GB2312" w:eastAsia="楷体_GB2312" w:cs="楷体_GB2312"/>
          <w:sz w:val="32"/>
          <w:szCs w:val="32"/>
          <w:lang w:val="en-US" w:eastAsia="zh-CN"/>
        </w:rPr>
        <w:t>（二）删除了优质中小企业的培育数量目标。</w:t>
      </w:r>
      <w:r>
        <w:rPr>
          <w:rFonts w:hint="eastAsia" w:ascii="Times New Roman" w:hAnsi="Times New Roman" w:eastAsia="仿宋_GB2312" w:cs="仿宋_GB2312"/>
          <w:sz w:val="32"/>
          <w:szCs w:val="32"/>
          <w:lang w:val="en-US" w:eastAsia="zh-CN"/>
        </w:rPr>
        <w:t>根据《办法》</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各级中小企业主管部门应着力把功夫下到培育和服务上，坚持质量为先，不层层设定培育数量指标</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，本次修订不再设定培育数量指标。</w:t>
      </w:r>
    </w:p>
    <w:p w14:paraId="101FC71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楷体_GB2312" w:hAnsi="楷体_GB2312" w:eastAsia="楷体_GB2312" w:cs="楷体_GB2312"/>
          <w:sz w:val="32"/>
          <w:szCs w:val="32"/>
          <w:lang w:val="en-US" w:eastAsia="zh-CN"/>
        </w:rPr>
        <w:t>（三）进一步优化了梯度培育工作机制。</w:t>
      </w:r>
      <w:r>
        <w:rPr>
          <w:rFonts w:hint="eastAsia" w:ascii="Times New Roman" w:hAnsi="Times New Roman" w:eastAsia="仿宋_GB2312" w:cs="仿宋_GB2312"/>
          <w:sz w:val="32"/>
          <w:szCs w:val="32"/>
          <w:lang w:val="en-US" w:eastAsia="zh-CN"/>
        </w:rPr>
        <w:t>为进一步调动地市主观能动性，</w:t>
      </w:r>
      <w:r>
        <w:rPr>
          <w:rFonts w:hint="eastAsia" w:ascii="Times New Roman" w:hAnsi="Times New Roman" w:eastAsia="仿宋_GB2312" w:cs="Times New Roman"/>
          <w:sz w:val="32"/>
          <w:szCs w:val="32"/>
          <w:lang w:val="en-US" w:eastAsia="zh-CN"/>
        </w:rPr>
        <w:t>根据《办法》“坚持分层分类分级指导”要求，</w:t>
      </w:r>
      <w:r>
        <w:rPr>
          <w:rFonts w:hint="eastAsia" w:ascii="Times New Roman" w:hAnsi="Times New Roman" w:eastAsia="仿宋_GB2312" w:cs="仿宋_GB2312"/>
          <w:sz w:val="32"/>
          <w:szCs w:val="32"/>
          <w:lang w:val="en-US" w:eastAsia="zh-CN"/>
        </w:rPr>
        <w:t>落实国家和我省大力推进</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放管服</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改革，结合此前下放广州、佛山和东莞3市专精特新中小企业认定相关工作的实践，将专精特新中小企业审核、实地抽查和公示，进一步扩大下放到地级以上市中小企业主管部门；省厅负责全省专精特新中小企业抽查和公告。</w:t>
      </w:r>
    </w:p>
    <w:p w14:paraId="7F9546F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楷体_GB2312" w:hAnsi="楷体_GB2312" w:eastAsia="楷体_GB2312" w:cs="楷体_GB2312"/>
          <w:sz w:val="32"/>
          <w:szCs w:val="32"/>
          <w:lang w:val="en-US" w:eastAsia="zh-CN"/>
        </w:rPr>
        <w:t>（四）全面完整落实国家认定标准与工作程序。</w:t>
      </w:r>
      <w:r>
        <w:rPr>
          <w:rFonts w:hint="eastAsia" w:ascii="Times New Roman" w:hAnsi="Times New Roman" w:eastAsia="仿宋_GB2312" w:cs="仿宋_GB2312"/>
          <w:sz w:val="32"/>
          <w:szCs w:val="32"/>
          <w:lang w:val="en-US" w:eastAsia="zh-CN"/>
        </w:rPr>
        <w:t>《办法》的</w:t>
      </w:r>
      <w:r>
        <w:rPr>
          <w:rFonts w:hint="eastAsia" w:ascii="Times New Roman" w:hAnsi="Times New Roman" w:eastAsia="仿宋_GB2312" w:cs="仿宋_GB2312"/>
          <w:spacing w:val="0"/>
          <w:kern w:val="2"/>
          <w:sz w:val="32"/>
          <w:szCs w:val="32"/>
          <w:shd w:val="clear" w:color="auto" w:fill="auto"/>
          <w:lang w:eastAsia="zh-CN"/>
        </w:rPr>
        <w:t>专精特新中小企业</w:t>
      </w:r>
      <w:r>
        <w:rPr>
          <w:rFonts w:hint="eastAsia" w:ascii="Times New Roman" w:hAnsi="Times New Roman" w:eastAsia="仿宋_GB2312" w:cs="仿宋_GB2312"/>
          <w:spacing w:val="0"/>
          <w:kern w:val="2"/>
          <w:sz w:val="32"/>
          <w:szCs w:val="32"/>
          <w:shd w:val="clear" w:color="auto" w:fill="auto"/>
          <w:lang w:val="en-US" w:eastAsia="zh-CN"/>
        </w:rPr>
        <w:t>和专精特新</w:t>
      </w:r>
      <w:r>
        <w:rPr>
          <w:rFonts w:hint="default" w:ascii="Times New Roman" w:hAnsi="Times New Roman" w:eastAsia="仿宋_GB2312" w:cs="Times New Roman"/>
          <w:spacing w:val="0"/>
          <w:kern w:val="2"/>
          <w:sz w:val="32"/>
          <w:szCs w:val="32"/>
          <w:shd w:val="clear" w:color="auto" w:fill="auto"/>
          <w:lang w:val="en-US" w:eastAsia="zh-CN"/>
        </w:rPr>
        <w:t>“</w:t>
      </w:r>
      <w:r>
        <w:rPr>
          <w:rFonts w:hint="eastAsia" w:ascii="Times New Roman" w:hAnsi="Times New Roman" w:eastAsia="仿宋_GB2312" w:cs="仿宋_GB2312"/>
          <w:spacing w:val="0"/>
          <w:kern w:val="2"/>
          <w:sz w:val="32"/>
          <w:szCs w:val="32"/>
          <w:shd w:val="clear" w:color="auto" w:fill="auto"/>
          <w:lang w:val="en-US" w:eastAsia="zh-CN"/>
        </w:rPr>
        <w:t>小巨人</w:t>
      </w:r>
      <w:r>
        <w:rPr>
          <w:rFonts w:hint="default" w:ascii="Times New Roman" w:hAnsi="Times New Roman" w:eastAsia="仿宋_GB2312" w:cs="Times New Roman"/>
          <w:spacing w:val="0"/>
          <w:kern w:val="2"/>
          <w:sz w:val="32"/>
          <w:szCs w:val="32"/>
          <w:shd w:val="clear" w:color="auto" w:fill="auto"/>
          <w:lang w:val="en-US" w:eastAsia="zh-CN"/>
        </w:rPr>
        <w:t>”</w:t>
      </w:r>
      <w:r>
        <w:rPr>
          <w:rFonts w:hint="eastAsia" w:ascii="Times New Roman" w:hAnsi="Times New Roman" w:eastAsia="仿宋_GB2312" w:cs="仿宋_GB2312"/>
          <w:spacing w:val="0"/>
          <w:kern w:val="2"/>
          <w:sz w:val="32"/>
          <w:szCs w:val="32"/>
          <w:shd w:val="clear" w:color="auto" w:fill="auto"/>
          <w:lang w:val="en-US" w:eastAsia="zh-CN"/>
        </w:rPr>
        <w:t>企业</w:t>
      </w:r>
      <w:r>
        <w:rPr>
          <w:rFonts w:hint="eastAsia" w:ascii="Times New Roman" w:hAnsi="Times New Roman" w:eastAsia="仿宋_GB2312" w:cs="仿宋_GB2312"/>
          <w:spacing w:val="0"/>
          <w:kern w:val="2"/>
          <w:sz w:val="32"/>
          <w:szCs w:val="32"/>
          <w:shd w:val="clear" w:color="auto" w:fill="auto"/>
          <w:lang w:eastAsia="zh-CN"/>
        </w:rPr>
        <w:t>认定</w:t>
      </w:r>
      <w:r>
        <w:rPr>
          <w:rFonts w:hint="eastAsia" w:ascii="Times New Roman" w:hAnsi="Times New Roman" w:eastAsia="仿宋_GB2312" w:cs="仿宋_GB2312"/>
          <w:spacing w:val="0"/>
          <w:kern w:val="2"/>
          <w:sz w:val="32"/>
          <w:szCs w:val="32"/>
          <w:shd w:val="clear" w:color="auto" w:fill="auto"/>
          <w:lang w:val="en-US" w:eastAsia="zh-CN"/>
        </w:rPr>
        <w:t>标准，</w:t>
      </w:r>
      <w:r>
        <w:rPr>
          <w:rFonts w:hint="eastAsia" w:ascii="Times New Roman" w:hAnsi="Times New Roman" w:eastAsia="仿宋_GB2312" w:cs="仿宋_GB2312"/>
          <w:sz w:val="32"/>
          <w:szCs w:val="32"/>
          <w:lang w:val="en-US" w:eastAsia="zh-CN"/>
        </w:rPr>
        <w:t>要求全国不同地区完全一致，不允许地方增减</w:t>
      </w:r>
      <w:r>
        <w:rPr>
          <w:rFonts w:hint="eastAsia" w:ascii="Times New Roman" w:hAnsi="Times New Roman" w:eastAsia="仿宋_GB2312" w:cs="仿宋_GB2312"/>
          <w:spacing w:val="0"/>
          <w:kern w:val="2"/>
          <w:sz w:val="32"/>
          <w:szCs w:val="32"/>
          <w:shd w:val="clear" w:color="auto" w:fill="auto"/>
          <w:lang w:val="en-US" w:eastAsia="zh-CN"/>
        </w:rPr>
        <w:t>，我省严格执行</w:t>
      </w:r>
      <w:r>
        <w:rPr>
          <w:rFonts w:hint="eastAsia" w:ascii="Times New Roman" w:hAnsi="Times New Roman" w:eastAsia="仿宋_GB2312" w:cs="仿宋_GB2312"/>
          <w:sz w:val="32"/>
          <w:szCs w:val="32"/>
          <w:lang w:val="en-US" w:eastAsia="zh-CN"/>
        </w:rPr>
        <w:t>统一标准，不再设定特色化指标。《办法》在专精特新</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小巨人</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企业推荐的程序中增加了</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省级中小企业主管部门根据专精特新</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小巨人</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企业申请材料和相关佐证材料进行初审、实地核查和公示。公示通过的，向工业和信息化部推荐</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，在推荐工作中要求</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健全审核机制、规范全过程管理</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，我省据此规范执行，增加省工信厅公示环节，强化审核把关。</w:t>
      </w:r>
    </w:p>
    <w:p w14:paraId="7D5A884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仿宋_GB2312"/>
          <w:sz w:val="32"/>
          <w:szCs w:val="32"/>
          <w:lang w:val="en-US" w:eastAsia="zh-CN"/>
        </w:rPr>
      </w:pPr>
      <w:r>
        <w:rPr>
          <w:rFonts w:hint="eastAsia" w:ascii="楷体_GB2312" w:hAnsi="楷体_GB2312" w:eastAsia="楷体_GB2312" w:cs="楷体_GB2312"/>
          <w:sz w:val="32"/>
          <w:szCs w:val="32"/>
          <w:lang w:val="en-US" w:eastAsia="zh-CN"/>
        </w:rPr>
        <w:t>（五）强化动态管理。</w:t>
      </w:r>
      <w:r>
        <w:rPr>
          <w:rFonts w:hint="eastAsia" w:ascii="Times New Roman" w:hAnsi="Times New Roman" w:eastAsia="仿宋_GB2312" w:cs="仿宋_GB2312"/>
          <w:sz w:val="32"/>
          <w:szCs w:val="32"/>
          <w:lang w:val="en-US" w:eastAsia="zh-CN"/>
        </w:rPr>
        <w:t>根据《办法》，明确企业信息更新时限要求和未按期更新信息的处理方式，细化专精特新中小企业简单更名、跨区域迁移管理规则，增加完成信用修复并移出严重失信主体名单、按照行业管理规定要求完成整改，并获得相关行业管理部门认可的企业可以三年内再次申报的规定。</w:t>
      </w:r>
    </w:p>
    <w:p w14:paraId="795FC25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b w:val="0"/>
          <w:bCs w:val="0"/>
          <w:strike w:val="0"/>
          <w:dstrike w:val="0"/>
          <w:color w:val="auto"/>
          <w:sz w:val="32"/>
          <w:szCs w:val="32"/>
          <w:u w:val="none"/>
          <w:lang w:val="en-US" w:eastAsia="zh-CN"/>
        </w:rPr>
      </w:pPr>
      <w:r>
        <w:rPr>
          <w:rFonts w:hint="eastAsia" w:ascii="黑体" w:hAnsi="黑体" w:eastAsia="黑体" w:cs="黑体"/>
          <w:sz w:val="32"/>
          <w:szCs w:val="32"/>
          <w:lang w:val="en-US" w:eastAsia="zh-CN"/>
        </w:rPr>
        <w:t>三、《广东省优质中小企业梯度培育管理实施细则（修订稿）》修订的主要条款</w:t>
      </w:r>
    </w:p>
    <w:p w14:paraId="6863292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pPr>
      <w:r>
        <w:rPr>
          <w:rFonts w:hint="eastAsia" w:ascii="仿宋_GB2312" w:hAnsi="仿宋_GB2312" w:eastAsia="仿宋_GB2312" w:cs="仿宋_GB2312"/>
          <w:spacing w:val="0"/>
          <w:kern w:val="0"/>
          <w:sz w:val="32"/>
          <w:szCs w:val="32"/>
          <w:shd w:val="clear" w:color="auto" w:fill="FFFFFF"/>
          <w:lang w:eastAsia="zh-CN"/>
        </w:rPr>
        <w:t>详见</w:t>
      </w:r>
      <w:r>
        <w:rPr>
          <w:rFonts w:hint="eastAsia" w:ascii="仿宋_GB2312" w:hAnsi="仿宋_GB2312" w:eastAsia="仿宋_GB2312" w:cs="仿宋_GB2312"/>
          <w:spacing w:val="0"/>
          <w:kern w:val="0"/>
          <w:sz w:val="32"/>
          <w:szCs w:val="32"/>
          <w:shd w:val="clear" w:color="auto" w:fill="FFFFFF"/>
          <w:lang w:val="en-US" w:eastAsia="zh-CN"/>
        </w:rPr>
        <w:t>附件</w:t>
      </w:r>
      <w:r>
        <w:rPr>
          <w:rFonts w:hint="eastAsia" w:ascii="Times New Roman" w:hAnsi="Times New Roman" w:eastAsia="仿宋_GB2312" w:cs="仿宋_GB2312"/>
          <w:sz w:val="32"/>
          <w:szCs w:val="32"/>
          <w:lang w:val="en-US" w:eastAsia="zh-CN"/>
        </w:rPr>
        <w:t>3</w:t>
      </w:r>
      <w:r>
        <w:rPr>
          <w:rFonts w:hint="eastAsia" w:ascii="仿宋_GB2312" w:hAnsi="仿宋_GB2312" w:eastAsia="仿宋_GB2312" w:cs="仿宋_GB2312"/>
          <w:spacing w:val="0"/>
          <w:kern w:val="0"/>
          <w:sz w:val="32"/>
          <w:szCs w:val="32"/>
          <w:shd w:val="clear" w:color="auto" w:fill="FFFFFF"/>
          <w:lang w:val="en-US" w:eastAsia="zh-CN"/>
        </w:rPr>
        <w:t>注释稿。</w:t>
      </w:r>
    </w:p>
    <w:sectPr>
      <w:footerReference r:id="rId3"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9A272E-ECB8-497D-9FD9-905BCC68FB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embedRegular r:id="rId2" w:fontKey="{2C506375-265B-4991-9D61-2C1A3D58C698}"/>
  </w:font>
  <w:font w:name="方正小标宋简体">
    <w:panose1 w:val="02010600010101010101"/>
    <w:charset w:val="86"/>
    <w:family w:val="auto"/>
    <w:pitch w:val="default"/>
    <w:sig w:usb0="00000001" w:usb1="080E0000" w:usb2="00000000" w:usb3="00000000" w:csb0="00040000" w:csb1="00000000"/>
    <w:embedRegular r:id="rId3" w:fontKey="{3E928390-19F0-48A5-A67E-576BB5BFB5F9}"/>
  </w:font>
  <w:font w:name="仿宋">
    <w:panose1 w:val="02010609060101010101"/>
    <w:charset w:val="86"/>
    <w:family w:val="auto"/>
    <w:pitch w:val="default"/>
    <w:sig w:usb0="800002BF" w:usb1="38CF7CFA" w:usb2="00000016" w:usb3="00000000" w:csb0="00040001" w:csb1="00000000"/>
    <w:embedRegular r:id="rId4" w:fontKey="{FB054261-22FA-4DD8-AC22-8E2C27AB8D80}"/>
  </w:font>
  <w:font w:name="楷体_GB2312">
    <w:altName w:val="楷体"/>
    <w:panose1 w:val="02010609030101010101"/>
    <w:charset w:val="86"/>
    <w:family w:val="auto"/>
    <w:pitch w:val="default"/>
    <w:sig w:usb0="00000001" w:usb1="080E0000" w:usb2="00000000" w:usb3="00000000" w:csb0="00040000" w:csb1="00000000"/>
    <w:embedRegular r:id="rId5" w:fontKey="{91FAF8AD-017C-4398-9AD5-2BD7B4EE950F}"/>
  </w:font>
  <w:font w:name="楷体">
    <w:panose1 w:val="02010609060101010101"/>
    <w:charset w:val="86"/>
    <w:family w:val="auto"/>
    <w:pitch w:val="default"/>
    <w:sig w:usb0="800002BF" w:usb1="38CF7CFA" w:usb2="00000016" w:usb3="00000000" w:csb0="00040001" w:csb1="00000000"/>
    <w:embedRegular r:id="rId6" w:fontKey="{CEEA473A-74A8-42C1-8510-146F559D54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4C55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4A6EE94">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04A6EE9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lMjY1MjU4YjA0ZWY3MTg4MTc0ZGMyYWU0MTVjZjgifQ=="/>
  </w:docVars>
  <w:rsids>
    <w:rsidRoot w:val="55BB8A77"/>
    <w:rsid w:val="02290C40"/>
    <w:rsid w:val="030A6CC4"/>
    <w:rsid w:val="03A367D0"/>
    <w:rsid w:val="03E47515"/>
    <w:rsid w:val="07CA51C6"/>
    <w:rsid w:val="0BBC0D77"/>
    <w:rsid w:val="0C580AA0"/>
    <w:rsid w:val="0FF74C87"/>
    <w:rsid w:val="10A067E1"/>
    <w:rsid w:val="14CE4375"/>
    <w:rsid w:val="16475198"/>
    <w:rsid w:val="183B3024"/>
    <w:rsid w:val="199A122E"/>
    <w:rsid w:val="1C64668A"/>
    <w:rsid w:val="2040567B"/>
    <w:rsid w:val="23737B15"/>
    <w:rsid w:val="243D4B31"/>
    <w:rsid w:val="27956440"/>
    <w:rsid w:val="28F45255"/>
    <w:rsid w:val="2B261911"/>
    <w:rsid w:val="2BB42265"/>
    <w:rsid w:val="323963CE"/>
    <w:rsid w:val="32847649"/>
    <w:rsid w:val="33114C55"/>
    <w:rsid w:val="33F627C9"/>
    <w:rsid w:val="34464460"/>
    <w:rsid w:val="35472BB0"/>
    <w:rsid w:val="35A10512"/>
    <w:rsid w:val="368E32DA"/>
    <w:rsid w:val="382E7762"/>
    <w:rsid w:val="3AC151B3"/>
    <w:rsid w:val="3B33221B"/>
    <w:rsid w:val="3BE0476D"/>
    <w:rsid w:val="3D744CFD"/>
    <w:rsid w:val="3DDF77E1"/>
    <w:rsid w:val="3E37E5DB"/>
    <w:rsid w:val="3E8FB620"/>
    <w:rsid w:val="400C4BB5"/>
    <w:rsid w:val="421028ED"/>
    <w:rsid w:val="422F6EA6"/>
    <w:rsid w:val="45010FCD"/>
    <w:rsid w:val="463D7DE3"/>
    <w:rsid w:val="465B295F"/>
    <w:rsid w:val="46A530A4"/>
    <w:rsid w:val="46B1469B"/>
    <w:rsid w:val="4A895CED"/>
    <w:rsid w:val="4A8D181A"/>
    <w:rsid w:val="4BAF7734"/>
    <w:rsid w:val="4EF70D4B"/>
    <w:rsid w:val="4F7A2C0F"/>
    <w:rsid w:val="4FD97A0C"/>
    <w:rsid w:val="511D718F"/>
    <w:rsid w:val="516D57A4"/>
    <w:rsid w:val="51791EEB"/>
    <w:rsid w:val="55BB8A77"/>
    <w:rsid w:val="56065511"/>
    <w:rsid w:val="56332FB1"/>
    <w:rsid w:val="5CF67058"/>
    <w:rsid w:val="5E7F3591"/>
    <w:rsid w:val="5EA06D09"/>
    <w:rsid w:val="6042608B"/>
    <w:rsid w:val="60BD0047"/>
    <w:rsid w:val="62B72874"/>
    <w:rsid w:val="636724EC"/>
    <w:rsid w:val="6390403A"/>
    <w:rsid w:val="66100C18"/>
    <w:rsid w:val="667271DD"/>
    <w:rsid w:val="66FD4054"/>
    <w:rsid w:val="67F57E4A"/>
    <w:rsid w:val="69180510"/>
    <w:rsid w:val="6EF2BCB6"/>
    <w:rsid w:val="6F61488D"/>
    <w:rsid w:val="72FE0FB6"/>
    <w:rsid w:val="731C29AB"/>
    <w:rsid w:val="7374764C"/>
    <w:rsid w:val="75C16101"/>
    <w:rsid w:val="77F6663E"/>
    <w:rsid w:val="79080D5A"/>
    <w:rsid w:val="7D7E0F25"/>
    <w:rsid w:val="7EF173E1"/>
    <w:rsid w:val="7FC56178"/>
    <w:rsid w:val="7FE7A07F"/>
    <w:rsid w:val="7FEB0EF6"/>
    <w:rsid w:val="7FF7197D"/>
    <w:rsid w:val="9A5D637F"/>
    <w:rsid w:val="ADFA202A"/>
    <w:rsid w:val="BFB7CF6B"/>
    <w:rsid w:val="DA6E2508"/>
    <w:rsid w:val="E67DF9C4"/>
    <w:rsid w:val="FCFE45D8"/>
    <w:rsid w:val="FDFE40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Plain Text"/>
    <w:basedOn w:val="1"/>
    <w:qFormat/>
    <w:uiPriority w:val="0"/>
    <w:pPr>
      <w:widowControl/>
      <w:spacing w:before="100" w:beforeAutospacing="1" w:after="100" w:afterAutospacing="1" w:line="360" w:lineRule="auto"/>
      <w:jc w:val="left"/>
    </w:pPr>
    <w:rPr>
      <w:rFonts w:ascii="宋体" w:hAnsi="宋体" w:cs="宋体"/>
      <w:kern w:val="0"/>
      <w:sz w:val="24"/>
    </w:rPr>
  </w:style>
  <w:style w:type="paragraph" w:styleId="3">
    <w:name w:val="annotation text"/>
    <w:basedOn w:val="1"/>
    <w:uiPriority w:val="0"/>
    <w:pPr>
      <w:jc w:val="left"/>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839</Words>
  <Characters>855</Characters>
  <Lines>0</Lines>
  <Paragraphs>0</Paragraphs>
  <TotalTime>10.3333333333333</TotalTime>
  <ScaleCrop>false</ScaleCrop>
  <LinksUpToDate>false</LinksUpToDate>
  <CharactersWithSpaces>855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2024-04-13T01:23:00Z</dcterms:created>
  <dc:creator>greatwall</dc:creator>
  <cp:lastModifiedBy>1213350559</cp:lastModifiedBy>
  <dcterms:modified xsi:type="dcterms:W3CDTF">2026-04-22T01:42:53Z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608FAA13F4964ECA879B9EE79D0B4EF4_13</vt:lpwstr>
  </property>
  <property fmtid="{D5CDD505-2E9C-101B-9397-08002B2CF9AE}" pid="4" name="KSOTemplateDocerSaveRecord">
    <vt:lpwstr>eyJoZGlkIjoiNjJlMjY1MjU4YjA0ZWY3MTg4MTc0ZGMyYWU0MTVjZjgiLCJ1c2VySWQiOiI0MTU5NTY2MzMifQ==</vt:lpwstr>
  </property>
</Properties>
</file>