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600" w:lineRule="exact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2"/>
          <w:lang w:val="en-US" w:eastAsia="zh-CN"/>
        </w:rPr>
        <w:t xml:space="preserve"> 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600" w:lineRule="exact"/>
        <w:ind w:righ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8"/>
          <w:sz w:val="44"/>
          <w:szCs w:val="44"/>
        </w:rPr>
        <w:t>服务中小企业典型案例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推荐对象汇总表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73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9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2624"/>
        <w:gridCol w:w="2846"/>
        <w:gridCol w:w="25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  <w:lang w:val="en-US" w:eastAsia="zh-CN"/>
              </w:rPr>
              <w:t>服务领域</w:t>
            </w:r>
          </w:p>
        </w:tc>
        <w:tc>
          <w:tcPr>
            <w:tcW w:w="28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  <w:sz w:val="32"/>
                <w:szCs w:val="32"/>
              </w:rPr>
              <w:t>案例名称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top"/>
          </w:tcPr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</w:p>
          <w:p>
            <w:pPr>
              <w:spacing w:before="89" w:line="192" w:lineRule="auto"/>
              <w:ind w:left="478" w:leftChars="0"/>
              <w:jc w:val="both"/>
              <w:rPr>
                <w:rFonts w:hint="default" w:ascii="Times New Roman" w:hAnsi="Times New Roman" w:eastAsia="黑体" w:cs="Times New Roman"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1</w:t>
            </w:r>
          </w:p>
        </w:tc>
        <w:tc>
          <w:tcPr>
            <w:tcW w:w="2624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市场拓展、融资促进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7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聚焦新材料产业链融合，构建共享共生共赢生态圈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广州华南新材料创新园有限公司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/>
              <w:jc w:val="center"/>
              <w:textAlignment w:val="baseline"/>
              <w:rPr>
                <w:rFonts w:hint="eastAsia" w:ascii="Times New Roman" w:hAnsi="Times New Roman" w:eastAsia="黑体" w:cs="Times New Roman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24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产融对接</w:t>
            </w: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7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2024年广州市“链”上有约投融资对接活动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广州纳金高科有限公司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广州生产力促进中心有限公司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top"/>
          </w:tcPr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</w:p>
          <w:p>
            <w:pPr>
              <w:spacing w:before="89" w:line="192" w:lineRule="auto"/>
              <w:ind w:left="478" w:leftChars="0"/>
              <w:jc w:val="both"/>
              <w:rPr>
                <w:rFonts w:hint="default" w:ascii="Times New Roman" w:hAnsi="Times New Roman" w:eastAsia="黑体" w:cs="Times New Roman"/>
                <w:spacing w:val="-2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2624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技术转移转化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  <w:lang w:val="en-US" w:eastAsia="zh-CN"/>
              </w:rPr>
            </w:pPr>
          </w:p>
        </w:tc>
        <w:tc>
          <w:tcPr>
            <w:tcW w:w="2846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7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大湾区科技创新服务中心——基于AI的成果转化派单撮合平台</w:t>
            </w:r>
          </w:p>
        </w:tc>
        <w:tc>
          <w:tcPr>
            <w:tcW w:w="2568" w:type="dxa"/>
            <w:vAlign w:val="top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黑体" w:cs="Times New Roman"/>
                <w:spacing w:val="-12"/>
                <w:sz w:val="32"/>
                <w:szCs w:val="3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大湾区科技创新服务中心（广州）股份有限公司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099" w:type="dxa"/>
            <w:vAlign w:val="top"/>
          </w:tcPr>
          <w:p>
            <w:pPr>
              <w:spacing w:line="368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89" w:line="192" w:lineRule="auto"/>
              <w:ind w:left="508" w:leftChar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4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科技成果赋智</w:t>
            </w:r>
          </w:p>
        </w:tc>
        <w:tc>
          <w:tcPr>
            <w:tcW w:w="2846" w:type="dxa"/>
            <w:vAlign w:val="center"/>
          </w:tcPr>
          <w:p>
            <w:pPr>
              <w:spacing w:before="101" w:line="221" w:lineRule="auto"/>
              <w:ind w:left="104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22"/>
                <w:szCs w:val="22"/>
              </w:rPr>
              <w:t>基于机智云工业物联网平台的中小企业数智化典型案例</w:t>
            </w:r>
          </w:p>
        </w:tc>
        <w:tc>
          <w:tcPr>
            <w:tcW w:w="2568" w:type="dxa"/>
            <w:vAlign w:val="center"/>
          </w:tcPr>
          <w:p>
            <w:pPr>
              <w:spacing w:before="101" w:line="221" w:lineRule="auto"/>
              <w:ind w:left="104" w:lef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22"/>
                <w:szCs w:val="22"/>
                <w:lang w:val="en-US" w:eastAsia="zh-CN"/>
              </w:rPr>
              <w:t>广州机智云物联网科技有限公司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top"/>
          </w:tcPr>
          <w:p>
            <w:pPr>
              <w:spacing w:line="37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科技成果赋智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</w:rPr>
              <w:t>智能语音交互机器人解决方案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广州九四智能科技有限公司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top"/>
          </w:tcPr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</w:p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6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中小企业数字化转型服务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盖特引领中小企业数字化转型之路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广州盖特软件有限公司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1099" w:type="dxa"/>
            <w:vAlign w:val="top"/>
          </w:tcPr>
          <w:p>
            <w:pPr>
              <w:spacing w:before="89" w:line="192" w:lineRule="auto"/>
              <w:ind w:left="478" w:leftChars="0"/>
              <w:jc w:val="both"/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</w:p>
          <w:p>
            <w:pPr>
              <w:spacing w:before="89" w:line="192" w:lineRule="auto"/>
              <w:ind w:left="478" w:leftChars="0"/>
              <w:jc w:val="both"/>
              <w:rPr>
                <w:rFonts w:hint="default" w:ascii="Times New Roman" w:hAnsi="Times New Roman" w:eastAsia="宋体" w:cs="Times New Roman"/>
                <w:sz w:val="31"/>
                <w:szCs w:val="3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31"/>
                <w:szCs w:val="31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政策宣贯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广州市丰艺舞台灯光设备有限公司-科技创新体系育成服务典型案例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FFFFF"/>
                <w:lang w:val="en-US" w:eastAsia="zh-CN"/>
              </w:rPr>
              <w:t>广州市花都区高新技术企业协会</w:t>
            </w:r>
          </w:p>
        </w:tc>
      </w:tr>
    </w:tbl>
    <w:p>
      <w:pPr>
        <w:spacing w:line="334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334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="101" w:line="223" w:lineRule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9"/>
      <w:pgMar w:top="1587" w:right="1474" w:bottom="1587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3578BC"/>
    <w:rsid w:val="0BF82978"/>
    <w:rsid w:val="14E44445"/>
    <w:rsid w:val="160255CB"/>
    <w:rsid w:val="291458F7"/>
    <w:rsid w:val="41322CB7"/>
    <w:rsid w:val="4A15325D"/>
    <w:rsid w:val="54B42B63"/>
    <w:rsid w:val="591D4504"/>
    <w:rsid w:val="63765ADC"/>
    <w:rsid w:val="79C62C5C"/>
    <w:rsid w:val="978B50FC"/>
    <w:rsid w:val="FBBED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65</Characters>
  <TotalTime>1</TotalTime>
  <ScaleCrop>false</ScaleCrop>
  <LinksUpToDate>false</LinksUpToDate>
  <CharactersWithSpaces>82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2024-09-24T22:23:00Z</dcterms:created>
  <dc:creator>LV</dc:creator>
  <cp:lastModifiedBy>Sakura</cp:lastModifiedBy>
  <dcterms:modified xsi:type="dcterms:W3CDTF">2024-11-08T09:00:23Z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2024-10-09T10:56:41Z</vt:filetime>
  </property>
  <property fmtid="{D5CDD505-2E9C-101B-9397-08002B2CF9AE}" pid="4" name="KSOProductBuildVer">
    <vt:lpwstr>2052-11.8.2.12055</vt:lpwstr>
  </property>
  <property fmtid="{D5CDD505-2E9C-101B-9397-08002B2CF9AE}" pid="5" name="ICV">
    <vt:lpwstr>5E9C3AD9593F4F04B02EF6B4CD19BF90</vt:lpwstr>
  </property>
</Properties>
</file>